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629" w:type="dxa"/>
          </w:tcPr>
          <w:p w14:paraId="0C8AE456">
            <w:pPr>
              <w:pStyle w:val="3"/>
              <w:widowControl w:val="0"/>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3D62A730">
            <w:pPr>
              <w:widowControl w:val="0"/>
              <w:spacing w:before="0" w:after="0"/>
              <w:jc w:val="center"/>
            </w:pPr>
            <w:r>
              <w:rPr>
                <w:rFonts w:ascii="宋体" w:hAnsi="宋体" w:eastAsia="宋体"/>
                <w:b w:val="0"/>
                <w:sz w:val="26"/>
              </w:rPr>
              <w:t>科教科</w:t>
            </w:r>
          </w:p>
        </w:tc>
        <w:tc>
          <w:tcPr>
            <w:tcW w:w="1591" w:type="dxa"/>
          </w:tcPr>
          <w:p w14:paraId="6177A8B1">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6E7CF441">
            <w:pPr>
              <w:widowControl w:val="0"/>
              <w:spacing w:before="0" w:after="0"/>
              <w:ind w:firstLine="0" w:firstLineChars="0"/>
              <w:jc w:val="left"/>
            </w:pPr>
            <w:r>
              <w:rPr>
                <w:rFonts w:ascii="宋体" w:hAnsi="宋体" w:eastAsia="宋体"/>
                <w:b w:val="0"/>
                <w:sz w:val="24"/>
              </w:rPr>
              <w:t>运动促进健康管理平台</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3629C483">
            <w:pPr>
              <w:widowControl w:val="0"/>
              <w:spacing w:before="0" w:after="0"/>
              <w:jc w:val="left"/>
            </w:pPr>
            <w:r>
              <w:rPr>
                <w:rFonts w:ascii="宋体" w:hAnsi="宋体" w:eastAsia="宋体"/>
                <w:b w:val="0"/>
                <w:sz w:val="24"/>
              </w:rPr>
              <w:t>1</w:t>
            </w:r>
          </w:p>
        </w:tc>
        <w:tc>
          <w:tcPr>
            <w:tcW w:w="1591" w:type="dxa"/>
          </w:tcPr>
          <w:p w14:paraId="3514319B">
            <w:pPr>
              <w:pStyle w:val="3"/>
              <w:widowControl w:val="0"/>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3861E7E9">
            <w:pPr>
              <w:widowControl w:val="0"/>
              <w:spacing w:before="0" w:after="0"/>
              <w:jc w:val="left"/>
            </w:pPr>
            <w:r>
              <w:rPr>
                <w:rFonts w:ascii="宋体" w:hAnsi="宋体" w:eastAsia="宋体"/>
                <w:b w:val="0"/>
                <w:sz w:val="24"/>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643B917C">
            <w:pPr>
              <w:keepNext w:val="0"/>
              <w:keepLines w:val="0"/>
              <w:widowControl w:val="0"/>
              <w:numPr>
                <w:ilvl w:val="0"/>
                <w:numId w:val="0"/>
              </w:numPr>
              <w:suppressLineNumbers w:val="0"/>
              <w:spacing w:after="16" w:line="252" w:lineRule="auto"/>
              <w:ind w:firstLine="480"/>
              <w:jc w:val="left"/>
              <w:rPr>
                <w:rFonts w:ascii="宋体" w:hAnsi="宋体" w:eastAsia="宋体"/>
                <w:b w:val="0"/>
                <w:sz w:val="24"/>
              </w:rPr>
            </w:pPr>
            <w:r>
              <w:rPr>
                <w:rFonts w:ascii="宋体" w:hAnsi="宋体" w:eastAsia="宋体"/>
                <w:b w:val="0"/>
                <w:sz w:val="24"/>
              </w:rPr>
              <w:t>设备基础组成：应至少包括运动促进健康管理平台服务端及数据库部署环境、管理工作站或操作终端、医护/运动健康管理业务端、运动前风险筛查与问卷组件、患者或居民移动端访问组件、运动安全监测数据展示与预警组件、数据接口与设备接入模块、数据存储及备份恢复组件，以及完成运动评估设备、训练设备和可穿戴监测设备数据接入所需的通讯网关或接口组件。</w:t>
            </w:r>
          </w:p>
          <w:p w14:paraId="5FCC2796">
            <w:pPr>
              <w:widowControl w:val="0"/>
              <w:numPr>
                <w:ilvl w:val="0"/>
                <w:numId w:val="0"/>
              </w:numPr>
              <w:spacing w:before="0" w:after="16" w:line="252" w:lineRule="auto"/>
              <w:ind w:firstLine="480"/>
              <w:jc w:val="left"/>
              <w:rPr>
                <w:rFonts w:ascii="宋体" w:hAnsi="宋体" w:eastAsia="宋体"/>
                <w:b w:val="0"/>
                <w:sz w:val="24"/>
              </w:rPr>
            </w:pPr>
            <w:r>
              <w:rPr>
                <w:rFonts w:ascii="宋体" w:hAnsi="宋体" w:eastAsia="宋体"/>
                <w:b w:val="0"/>
                <w:sz w:val="24"/>
              </w:rPr>
              <w:t>项目建设可根据最终方案配置基础</w:t>
            </w:r>
            <w:r>
              <w:rPr>
                <w:rFonts w:hint="eastAsia" w:ascii="宋体" w:hAnsi="宋体" w:eastAsia="宋体"/>
                <w:sz w:val="24"/>
              </w:rPr>
              <w:t>基础心肺耐力快速评估等配套可选扩展模块。</w:t>
            </w:r>
            <w:r>
              <w:rPr>
                <w:rFonts w:ascii="宋体" w:hAnsi="宋体" w:eastAsia="宋体"/>
                <w:b w:val="0"/>
                <w:sz w:val="24"/>
              </w:rPr>
              <w:t>扩展模块可采用平台原生设备，也可由平台供应商集成第三方成熟设备实现，不限定与平台同品牌或同一厂家；平台核心软件功能的响应不以供应商是否自有上述硬件为前提。</w:t>
            </w:r>
          </w:p>
          <w:p w14:paraId="091ABD8A">
            <w:pPr>
              <w:keepNext w:val="0"/>
              <w:keepLines w:val="0"/>
              <w:widowControl w:val="0"/>
              <w:numPr>
                <w:ilvl w:val="0"/>
                <w:numId w:val="0"/>
              </w:numPr>
              <w:suppressLineNumbers w:val="0"/>
              <w:spacing w:after="16" w:line="252" w:lineRule="auto"/>
              <w:ind w:firstLine="480"/>
              <w:jc w:val="left"/>
              <w:rPr>
                <w:rFonts w:ascii="宋体" w:hAnsi="宋体" w:eastAsia="宋体"/>
                <w:b w:val="0"/>
                <w:sz w:val="24"/>
              </w:rPr>
            </w:pPr>
            <w:r>
              <w:rPr>
                <w:rFonts w:ascii="宋体" w:hAnsi="宋体" w:eastAsia="宋体"/>
                <w:b w:val="0"/>
                <w:sz w:val="24"/>
              </w:rPr>
              <w:t>对纳入最终采购范围的扩展模块，应实现受试者身份关联、评估结果和历史数据进入平台统一管理，并在市场调研或报价中单独说明配置方案、数据集成方式和相应费用。</w:t>
            </w:r>
          </w:p>
          <w:p w14:paraId="06A3176F">
            <w:pPr>
              <w:keepNext w:val="0"/>
              <w:keepLines w:val="0"/>
              <w:widowControl w:val="0"/>
              <w:numPr>
                <w:ilvl w:val="0"/>
                <w:numId w:val="0"/>
              </w:numPr>
              <w:suppressLineNumbers w:val="0"/>
              <w:spacing w:after="16" w:line="252" w:lineRule="auto"/>
              <w:ind w:firstLine="480"/>
              <w:jc w:val="left"/>
            </w:pPr>
            <w:r>
              <w:rPr>
                <w:rFonts w:ascii="宋体" w:hAnsi="宋体" w:eastAsia="宋体" w:cs="宋体"/>
                <w:snapToGrid w:val="0"/>
                <w:color w:val="000000"/>
                <w:kern w:val="0"/>
                <w:sz w:val="24"/>
                <w:szCs w:val="24"/>
                <w:lang w:val="en-US" w:eastAsia="zh-CN" w:bidi="ar"/>
              </w:rPr>
              <w:t>若集成第三方硬件扩展模块，供应商须负责核验第三方设备合法资质，投标/调研资料中明确硬件维保责任划分边界。</w:t>
            </w:r>
          </w:p>
          <w:p w14:paraId="29B21AB1">
            <w:pPr>
              <w:keepNext w:val="0"/>
              <w:keepLines w:val="0"/>
              <w:widowControl w:val="0"/>
              <w:numPr>
                <w:ilvl w:val="0"/>
                <w:numId w:val="0"/>
              </w:numPr>
              <w:suppressLineNumbers w:val="0"/>
              <w:spacing w:after="16" w:line="252" w:lineRule="auto"/>
              <w:ind w:firstLine="480"/>
              <w:jc w:val="left"/>
              <w:rPr>
                <w:rFonts w:ascii="宋体" w:hAnsi="宋体" w:eastAsia="宋体"/>
                <w:b w:val="0"/>
                <w:sz w:val="24"/>
              </w:rPr>
            </w:pPr>
            <w:r>
              <w:rPr>
                <w:rFonts w:ascii="宋体" w:hAnsi="宋体" w:eastAsia="宋体"/>
                <w:b w:val="0"/>
                <w:sz w:val="24"/>
              </w:rPr>
              <w:t>服务端可采用本地服务器、医院既有虚拟化资源或其他符合医院信息安全要求的等效部署方式；医院已有的服务器、终端及网络资源满足要求时应支持复用，不强制重复配置，也不应以同一厂家专用硬件作为实现数据整合的唯一方式。</w:t>
            </w:r>
          </w:p>
          <w:p w14:paraId="51245952">
            <w:pPr>
              <w:widowControl w:val="0"/>
              <w:numPr>
                <w:ilvl w:val="0"/>
                <w:numId w:val="0"/>
              </w:numPr>
              <w:spacing w:before="0" w:after="16" w:line="252" w:lineRule="auto"/>
              <w:ind w:firstLine="480"/>
              <w:jc w:val="left"/>
            </w:pPr>
            <w:r>
              <w:rPr>
                <w:rFonts w:ascii="宋体" w:hAnsi="宋体" w:eastAsia="宋体" w:cs="宋体"/>
                <w:snapToGrid w:val="0"/>
                <w:color w:val="000000"/>
                <w:kern w:val="0"/>
                <w:sz w:val="24"/>
                <w:szCs w:val="24"/>
                <w:lang w:val="en-US" w:eastAsia="zh-CN" w:bidi="ar"/>
              </w:rPr>
              <w:t>提供本运动促进健康管理平台对应的计算机软件著作权登记证书；交付时须同步提供完整用户操作手册、系统运维手册、接口开发文档；平台全部受试者运动健康相关数据所有权归属采购方（医院），未经医院书面许可，供应商不得私自复制、留存、外传、挪作项目以外用途；提供</w:t>
            </w:r>
            <w:r>
              <w:rPr>
                <w:rFonts w:hint="eastAsia" w:ascii="宋体" w:hAnsi="宋体" w:eastAsia="宋体" w:cs="宋体"/>
                <w:snapToGrid w:val="0"/>
                <w:color w:val="000000"/>
                <w:kern w:val="0"/>
                <w:sz w:val="24"/>
                <w:szCs w:val="24"/>
                <w:lang w:val="en-US" w:eastAsia="zh-CN" w:bidi="ar"/>
              </w:rPr>
              <w:t>≥3</w:t>
            </w:r>
            <w:r>
              <w:rPr>
                <w:rFonts w:ascii="宋体" w:hAnsi="宋体" w:eastAsia="宋体" w:cs="宋体"/>
                <w:snapToGrid w:val="0"/>
                <w:color w:val="000000"/>
                <w:kern w:val="0"/>
                <w:sz w:val="24"/>
                <w:szCs w:val="24"/>
                <w:lang w:val="en-US" w:eastAsia="zh-CN" w:bidi="ar"/>
              </w:rPr>
              <w:t>年免费质保服务，质保期内bug修复、版本迭代升级免费，提供远程技术支持，按需提供现场支持；完成系统部署、联调测试，按照本技术参数逐项对照开展验收；提供医护人员、系统管理员、科研人员分级操作培训。</w:t>
            </w:r>
          </w:p>
          <w:p w14:paraId="5440DF76">
            <w:pPr>
              <w:widowControl w:val="0"/>
              <w:numPr>
                <w:ilvl w:val="0"/>
                <w:numId w:val="0"/>
              </w:numPr>
              <w:spacing w:before="0" w:after="16" w:line="252" w:lineRule="auto"/>
              <w:ind w:firstLine="480"/>
              <w:jc w:val="left"/>
            </w:pPr>
            <w:r>
              <w:rPr>
                <w:rFonts w:ascii="宋体" w:hAnsi="宋体" w:eastAsia="宋体"/>
                <w:b w:val="0"/>
                <w:sz w:val="24"/>
              </w:rPr>
              <w:t>1.运动健康全流程管理功能</w:t>
            </w:r>
          </w:p>
          <w:p w14:paraId="22A04671">
            <w:pPr>
              <w:widowControl w:val="0"/>
              <w:numPr>
                <w:ilvl w:val="0"/>
                <w:numId w:val="0"/>
              </w:numPr>
              <w:spacing w:before="0" w:after="16" w:line="252" w:lineRule="auto"/>
              <w:ind w:firstLine="480"/>
              <w:jc w:val="left"/>
            </w:pPr>
            <w:r>
              <w:rPr>
                <w:rFonts w:ascii="宋体" w:hAnsi="宋体" w:eastAsia="宋体"/>
                <w:b w:val="0"/>
                <w:sz w:val="24"/>
              </w:rPr>
              <w:t>应支持运动健康服务全过程管理，能够形成“健康建档—运动风险筛查—运动安全/能力评估—管理目标制定—运动处方—运动干预—运动过程监测—随访—再评估—处方调整”的连续管理流程，并能够在同一受试者档案中保留各阶段记录。</w:t>
            </w:r>
          </w:p>
          <w:p w14:paraId="20A587AB">
            <w:pPr>
              <w:widowControl w:val="0"/>
              <w:numPr>
                <w:ilvl w:val="-1"/>
                <w:numId w:val="0"/>
              </w:numPr>
              <w:spacing w:before="0" w:after="16" w:line="252" w:lineRule="auto"/>
              <w:ind w:firstLine="480"/>
              <w:jc w:val="left"/>
              <w:rPr>
                <w:rFonts w:ascii="宋体" w:hAnsi="宋体" w:eastAsia="宋体"/>
                <w:b w:val="0"/>
                <w:sz w:val="24"/>
              </w:rPr>
            </w:pPr>
            <w:r>
              <w:rPr>
                <w:rFonts w:hint="eastAsia" w:ascii="宋体" w:hAnsi="宋体" w:eastAsia="宋体"/>
                <w:b w:val="0"/>
                <w:sz w:val="24"/>
                <w:lang w:val="en-US" w:eastAsia="zh-CN"/>
              </w:rPr>
              <w:t>2.</w:t>
            </w:r>
            <w:r>
              <w:rPr>
                <w:rFonts w:ascii="宋体" w:hAnsi="宋体" w:eastAsia="宋体"/>
                <w:b w:val="0"/>
                <w:sz w:val="24"/>
              </w:rPr>
              <w:t>个人运动健康档案功能</w:t>
            </w:r>
          </w:p>
          <w:p w14:paraId="16EB1FC4">
            <w:pPr>
              <w:widowControl w:val="0"/>
              <w:numPr>
                <w:ilvl w:val="0"/>
                <w:numId w:val="0"/>
              </w:numPr>
              <w:spacing w:before="0" w:after="16" w:line="252" w:lineRule="auto"/>
              <w:ind w:firstLine="480"/>
              <w:jc w:val="left"/>
              <w:rPr>
                <w:bCs/>
                <w:sz w:val="24"/>
                <w:szCs w:val="24"/>
              </w:rPr>
            </w:pPr>
            <w:r>
              <w:rPr>
                <w:rFonts w:ascii="宋体" w:hAnsi="宋体" w:eastAsia="宋体"/>
                <w:b w:val="0"/>
                <w:sz w:val="24"/>
              </w:rPr>
              <w:t>应能够建立个人运动健康档案，至少支持记录和管理受试者基本信息、疾病史、用药史、运动习惯、主要健康指标、运动风险结果、体适能及运动能力评估结果、运动处方、营养指导、训练记录和随访记录。</w:t>
            </w:r>
            <w:r>
              <w:rPr>
                <w:rStyle w:val="8"/>
                <w:b w:val="0"/>
                <w:bCs/>
                <w:sz w:val="24"/>
                <w:szCs w:val="24"/>
              </w:rPr>
              <w:t>档案数据不可随意删除，删除操作记入审计日志。</w:t>
            </w:r>
          </w:p>
          <w:p w14:paraId="6C842806">
            <w:pPr>
              <w:widowControl w:val="0"/>
              <w:numPr>
                <w:ilvl w:val="0"/>
                <w:numId w:val="0"/>
              </w:numPr>
              <w:spacing w:before="0" w:after="16" w:line="252" w:lineRule="auto"/>
              <w:ind w:firstLine="480"/>
              <w:jc w:val="left"/>
            </w:pPr>
            <w:r>
              <w:rPr>
                <w:rFonts w:ascii="宋体" w:hAnsi="宋体" w:eastAsia="宋体"/>
                <w:b w:val="0"/>
                <w:sz w:val="24"/>
              </w:rPr>
              <w:t>3.健康数据录入与汇集功能</w:t>
            </w:r>
          </w:p>
          <w:p w14:paraId="08EA246A">
            <w:pPr>
              <w:widowControl w:val="0"/>
              <w:numPr>
                <w:ilvl w:val="0"/>
                <w:numId w:val="0"/>
              </w:numPr>
              <w:spacing w:before="0" w:after="16" w:line="252" w:lineRule="auto"/>
              <w:ind w:firstLine="480"/>
              <w:jc w:val="left"/>
            </w:pPr>
            <w:r>
              <w:rPr>
                <w:rFonts w:ascii="宋体" w:hAnsi="宋体" w:eastAsia="宋体"/>
                <w:b w:val="0"/>
                <w:sz w:val="24"/>
              </w:rPr>
              <w:t>应支持人工录入、批量导入以及通过接口或设备数据导入等方式汇集健康和运动数据。不同来源的数据应能够与对应受试者、测试日期和测试项目建立关联，并保存至统一档案。</w:t>
            </w:r>
            <w:r>
              <w:rPr>
                <w:rFonts w:ascii="宋体" w:hAnsi="宋体" w:eastAsia="宋体" w:cs="宋体"/>
                <w:sz w:val="24"/>
                <w:szCs w:val="24"/>
              </w:rPr>
              <w:t>批量导入支持Excel/CSV标准格式。</w:t>
            </w:r>
          </w:p>
          <w:p w14:paraId="36F40F17">
            <w:pPr>
              <w:widowControl w:val="0"/>
              <w:numPr>
                <w:ilvl w:val="0"/>
                <w:numId w:val="0"/>
              </w:numPr>
              <w:spacing w:before="0" w:after="16" w:line="252" w:lineRule="auto"/>
              <w:ind w:firstLine="480"/>
              <w:jc w:val="left"/>
            </w:pPr>
            <w:r>
              <w:rPr>
                <w:rFonts w:ascii="宋体" w:hAnsi="宋体" w:eastAsia="宋体"/>
                <w:b w:val="0"/>
                <w:sz w:val="24"/>
              </w:rPr>
              <w:t>4.人员分组与分类管理功能</w:t>
            </w:r>
          </w:p>
          <w:p w14:paraId="2CE05ED3">
            <w:pPr>
              <w:widowControl w:val="0"/>
              <w:numPr>
                <w:ilvl w:val="0"/>
                <w:numId w:val="0"/>
              </w:numPr>
              <w:spacing w:before="0" w:after="16" w:line="252" w:lineRule="auto"/>
              <w:ind w:firstLine="480"/>
              <w:jc w:val="left"/>
            </w:pPr>
            <w:r>
              <w:rPr>
                <w:rFonts w:ascii="宋体" w:hAnsi="宋体" w:eastAsia="宋体"/>
                <w:b w:val="0"/>
                <w:sz w:val="24"/>
              </w:rPr>
              <w:t>应支持按照疾病类型、健康风险、运动项目、管理阶段、科研项目或其他业务需要对受试者进行分组、标签和重点关注管理，并支持按照相应条件进行查询和筛选。</w:t>
            </w:r>
          </w:p>
          <w:p w14:paraId="6220BAA0">
            <w:pPr>
              <w:widowControl w:val="0"/>
              <w:numPr>
                <w:ilvl w:val="0"/>
                <w:numId w:val="0"/>
              </w:numPr>
              <w:spacing w:before="0" w:after="16" w:line="252" w:lineRule="auto"/>
              <w:ind w:firstLine="480"/>
              <w:jc w:val="left"/>
            </w:pPr>
            <w:r>
              <w:rPr>
                <w:rFonts w:ascii="宋体" w:hAnsi="宋体" w:eastAsia="宋体"/>
                <w:b w:val="0"/>
                <w:sz w:val="24"/>
              </w:rPr>
              <w:t>5.服务流程及任务状态管理功能</w:t>
            </w:r>
          </w:p>
          <w:p w14:paraId="47BDA761">
            <w:pPr>
              <w:widowControl w:val="0"/>
              <w:numPr>
                <w:ilvl w:val="0"/>
                <w:numId w:val="0"/>
              </w:numPr>
              <w:spacing w:before="0" w:after="16" w:line="252" w:lineRule="auto"/>
              <w:ind w:firstLine="480"/>
              <w:jc w:val="left"/>
            </w:pPr>
            <w:r>
              <w:rPr>
                <w:rFonts w:ascii="宋体" w:hAnsi="宋体" w:eastAsia="宋体"/>
                <w:b w:val="0"/>
                <w:sz w:val="24"/>
              </w:rPr>
              <w:t>应支持受试者预约或登记、签到以及检测、评估、处方、训练和随访等服务状态管理。身份识别可采用手工录入、二维码/条码、卡片、手机号或其他常见方式，不限定单一识别介质。能够查看当日或指定时间范围内待完成、已完成及需要后续处理的服务任务，并能够区分已完成和待完成的检测/训练项目。</w:t>
            </w:r>
          </w:p>
          <w:p w14:paraId="453FD7B9">
            <w:pPr>
              <w:widowControl w:val="0"/>
              <w:numPr>
                <w:ilvl w:val="0"/>
                <w:numId w:val="0"/>
              </w:numPr>
              <w:spacing w:before="0" w:after="16" w:line="252" w:lineRule="auto"/>
              <w:ind w:firstLine="480"/>
              <w:jc w:val="left"/>
            </w:pPr>
            <w:r>
              <w:rPr>
                <w:rFonts w:ascii="宋体" w:hAnsi="宋体" w:eastAsia="宋体"/>
                <w:b w:val="0"/>
                <w:sz w:val="24"/>
              </w:rPr>
              <w:t>6.运动前风险筛查功能</w:t>
            </w:r>
          </w:p>
          <w:p w14:paraId="46AAE113">
            <w:pPr>
              <w:widowControl w:val="0"/>
              <w:numPr>
                <w:ilvl w:val="0"/>
                <w:numId w:val="0"/>
              </w:numPr>
              <w:spacing w:before="0" w:after="16" w:line="252" w:lineRule="auto"/>
              <w:ind w:firstLine="480"/>
              <w:jc w:val="left"/>
              <w:rPr>
                <w:rFonts w:ascii="宋体" w:hAnsi="宋体" w:eastAsia="宋体"/>
                <w:b w:val="0"/>
                <w:sz w:val="24"/>
              </w:rPr>
            </w:pPr>
            <w:r>
              <w:rPr>
                <w:rFonts w:ascii="宋体" w:hAnsi="宋体" w:eastAsia="宋体"/>
                <w:b w:val="0"/>
                <w:sz w:val="24"/>
              </w:rPr>
              <w:t>应支持结合结构化健康问卷、疾病史、用药史、症状体征及已有临床检查信息开展运动风险筛查。对具有明确计分或判定规则的问卷，应支持自动计分、结果汇总或风险提示，能够识别需要进一步医学评估、运动安全评估或运动监护的情况。系统结果应支持专业人员复核确认，不以自动问卷结果替代临床判断。</w:t>
            </w:r>
            <w:r>
              <w:rPr>
                <w:rFonts w:ascii="宋体" w:hAnsi="宋体" w:eastAsia="宋体" w:cs="宋体"/>
                <w:sz w:val="24"/>
                <w:szCs w:val="24"/>
              </w:rPr>
              <w:t>所有筛查修改复核操作留审计痕迹。</w:t>
            </w:r>
          </w:p>
          <w:p w14:paraId="3681A368">
            <w:pPr>
              <w:widowControl w:val="0"/>
              <w:numPr>
                <w:ilvl w:val="0"/>
                <w:numId w:val="0"/>
              </w:numPr>
              <w:spacing w:before="0" w:after="16" w:line="252" w:lineRule="auto"/>
              <w:ind w:firstLine="480"/>
              <w:jc w:val="left"/>
            </w:pPr>
            <w:r>
              <w:rPr>
                <w:rFonts w:ascii="宋体" w:hAnsi="宋体" w:eastAsia="宋体"/>
                <w:b w:val="0"/>
                <w:sz w:val="24"/>
              </w:rPr>
              <w:t>7.运动禁忌和安全注意事项管理功能</w:t>
            </w:r>
          </w:p>
          <w:p w14:paraId="33D1DAE0">
            <w:pPr>
              <w:widowControl w:val="0"/>
              <w:numPr>
                <w:ilvl w:val="0"/>
                <w:numId w:val="0"/>
              </w:numPr>
              <w:spacing w:before="0" w:after="16" w:line="252" w:lineRule="auto"/>
              <w:ind w:firstLine="480"/>
              <w:jc w:val="left"/>
            </w:pPr>
            <w:r>
              <w:rPr>
                <w:rFonts w:ascii="宋体" w:hAnsi="宋体" w:eastAsia="宋体"/>
                <w:b w:val="0"/>
                <w:sz w:val="24"/>
              </w:rPr>
              <w:t>应支持记录和提示与运动相关的禁忌、限制因素及安全注意事项。风险筛查结果应能够与后续运动能力评估和运动处方关联，避免风险信息与运动处方相互独立。</w:t>
            </w:r>
          </w:p>
          <w:p w14:paraId="753AD67B">
            <w:pPr>
              <w:widowControl w:val="0"/>
              <w:numPr>
                <w:ilvl w:val="0"/>
                <w:numId w:val="0"/>
              </w:numPr>
              <w:spacing w:before="0" w:after="16" w:line="252" w:lineRule="auto"/>
              <w:ind w:firstLine="480"/>
              <w:jc w:val="left"/>
            </w:pPr>
            <w:r>
              <w:rPr>
                <w:rFonts w:ascii="宋体" w:hAnsi="宋体" w:eastAsia="宋体"/>
                <w:b w:val="0"/>
                <w:sz w:val="24"/>
              </w:rPr>
              <w:t>8.运动安全与运动能力评估数据管理功能</w:t>
            </w:r>
          </w:p>
          <w:p w14:paraId="583C0E42">
            <w:pPr>
              <w:widowControl w:val="0"/>
              <w:numPr>
                <w:ilvl w:val="0"/>
                <w:numId w:val="0"/>
              </w:numPr>
              <w:spacing w:before="0" w:after="16" w:line="252" w:lineRule="auto"/>
              <w:ind w:firstLine="480"/>
              <w:jc w:val="left"/>
            </w:pPr>
            <w:r>
              <w:rPr>
                <w:rFonts w:ascii="宋体" w:hAnsi="宋体" w:eastAsia="宋体"/>
                <w:b w:val="0"/>
                <w:sz w:val="24"/>
              </w:rPr>
              <w:t>应能够统一管理运动健康相关评估结果，至少支持心肺耐力、肌肉力量、身体成分、柔韧性和平衡/运动功能等评估类别，并支持血压、血糖等适用临床健康指标的录入、导入和查询。</w:t>
            </w:r>
          </w:p>
          <w:p w14:paraId="3FDC8D93">
            <w:pPr>
              <w:widowControl w:val="0"/>
              <w:numPr>
                <w:ilvl w:val="0"/>
                <w:numId w:val="0"/>
              </w:numPr>
              <w:spacing w:before="0" w:after="16" w:line="252" w:lineRule="auto"/>
              <w:ind w:firstLine="480"/>
              <w:jc w:val="left"/>
            </w:pPr>
            <w:r>
              <w:rPr>
                <w:rFonts w:ascii="宋体" w:hAnsi="宋体" w:eastAsia="宋体"/>
                <w:b w:val="0"/>
                <w:sz w:val="24"/>
              </w:rPr>
              <w:t>对已经接入相应评估设备的数据，应能够自动或通过标准数据导入方式进入个人运动健康档案。</w:t>
            </w:r>
          </w:p>
          <w:p w14:paraId="19C55558">
            <w:pPr>
              <w:widowControl w:val="0"/>
              <w:numPr>
                <w:ilvl w:val="0"/>
                <w:numId w:val="0"/>
              </w:numPr>
              <w:spacing w:before="0" w:after="16" w:line="252" w:lineRule="auto"/>
              <w:ind w:firstLine="480"/>
              <w:jc w:val="left"/>
            </w:pPr>
            <w:r>
              <w:rPr>
                <w:rFonts w:ascii="宋体" w:hAnsi="宋体" w:eastAsia="宋体"/>
                <w:b w:val="0"/>
                <w:sz w:val="24"/>
              </w:rPr>
              <w:t>9.综合评估结果展示功能</w:t>
            </w:r>
          </w:p>
          <w:p w14:paraId="6355B43D">
            <w:pPr>
              <w:widowControl w:val="0"/>
              <w:numPr>
                <w:ilvl w:val="0"/>
                <w:numId w:val="0"/>
              </w:numPr>
              <w:spacing w:before="0" w:after="16" w:line="252" w:lineRule="auto"/>
              <w:ind w:firstLine="480"/>
              <w:jc w:val="left"/>
            </w:pPr>
            <w:r>
              <w:rPr>
                <w:rFonts w:ascii="宋体" w:hAnsi="宋体" w:eastAsia="宋体"/>
                <w:b w:val="0"/>
                <w:sz w:val="24"/>
              </w:rPr>
              <w:t>应能够在同一受试者档案中集中查看主要健康指标、运动风险、心肺耐力、肌力、身体成分及其他已完成运动功能评估结果，并明确显示测试日期和数据来源</w:t>
            </w:r>
            <w:r>
              <w:rPr>
                <w:rFonts w:hint="eastAsia" w:ascii="宋体" w:hAnsi="宋体" w:eastAsia="宋体"/>
                <w:b w:val="0"/>
                <w:sz w:val="24"/>
                <w:lang w:val="en-US" w:eastAsia="zh-CN"/>
              </w:rPr>
              <w:t>标识</w:t>
            </w:r>
            <w:r>
              <w:rPr>
                <w:rFonts w:ascii="宋体" w:hAnsi="宋体" w:eastAsia="宋体"/>
                <w:b w:val="0"/>
                <w:sz w:val="24"/>
              </w:rPr>
              <w:t>。</w:t>
            </w:r>
          </w:p>
          <w:p w14:paraId="2D3881FE">
            <w:pPr>
              <w:widowControl w:val="0"/>
              <w:numPr>
                <w:ilvl w:val="0"/>
                <w:numId w:val="0"/>
              </w:numPr>
              <w:spacing w:before="0" w:after="16" w:line="252" w:lineRule="auto"/>
              <w:ind w:firstLine="480"/>
              <w:jc w:val="left"/>
            </w:pPr>
            <w:r>
              <w:rPr>
                <w:rFonts w:ascii="宋体" w:hAnsi="宋体" w:eastAsia="宋体"/>
                <w:b w:val="0"/>
                <w:sz w:val="24"/>
              </w:rPr>
              <w:t>10.基础心肺耐力评估数据管理及配套扩展功能</w:t>
            </w:r>
          </w:p>
          <w:p w14:paraId="4DAEED0B">
            <w:pPr>
              <w:widowControl w:val="0"/>
              <w:numPr>
                <w:ilvl w:val="0"/>
                <w:numId w:val="0"/>
              </w:numPr>
              <w:spacing w:before="0" w:after="16" w:line="252" w:lineRule="auto"/>
              <w:ind w:firstLine="480"/>
              <w:jc w:val="left"/>
            </w:pPr>
            <w:r>
              <w:rPr>
                <w:rFonts w:ascii="宋体" w:hAnsi="宋体" w:eastAsia="宋体"/>
                <w:b w:val="0"/>
                <w:sz w:val="24"/>
              </w:rPr>
              <w:t>平台应支持基础心肺耐力或有氧能力评估结果的接入、保存、查询、报告展示和纵向比较，并能够将相关结果纳入个人运动健康档案，作为运动处方前初步分层和后续复测的参考。</w:t>
            </w:r>
          </w:p>
          <w:p w14:paraId="7C7F83C3">
            <w:pPr>
              <w:widowControl w:val="0"/>
              <w:numPr>
                <w:ilvl w:val="0"/>
                <w:numId w:val="0"/>
              </w:numPr>
              <w:spacing w:before="0" w:after="16" w:line="252" w:lineRule="auto"/>
              <w:ind w:firstLine="480"/>
              <w:jc w:val="left"/>
            </w:pPr>
            <w:r>
              <w:rPr>
                <w:rFonts w:ascii="宋体" w:hAnsi="宋体" w:eastAsia="宋体"/>
                <w:b w:val="0"/>
                <w:sz w:val="24"/>
              </w:rPr>
              <w:t>根据项目最终建设方案，可配套</w:t>
            </w:r>
            <w:r>
              <w:rPr>
                <w:rFonts w:ascii="宋体" w:hAnsi="宋体" w:eastAsia="宋体" w:cs="宋体"/>
                <w:sz w:val="24"/>
                <w:szCs w:val="24"/>
              </w:rPr>
              <w:t>【可选扩展模块】</w:t>
            </w:r>
            <w:r>
              <w:rPr>
                <w:rFonts w:ascii="宋体" w:hAnsi="宋体" w:eastAsia="宋体"/>
                <w:b w:val="0"/>
                <w:sz w:val="24"/>
              </w:rPr>
              <w:t>基础心肺耐力快速评估模块。配置该模块时，应能够采用成熟的运动负荷测试方式，结合运动负荷、心率反应、测试时间及受试者基本信息，形成明确的基础心肺耐力、有氧能力量化结果或等级；应具备必要的目标心率/安全范围管理和异常提示功能。具体负荷设备、测试协议和算法实现方式不作限定。</w:t>
            </w:r>
          </w:p>
          <w:p w14:paraId="1990D79A">
            <w:pPr>
              <w:widowControl w:val="0"/>
              <w:numPr>
                <w:ilvl w:val="0"/>
                <w:numId w:val="0"/>
              </w:numPr>
              <w:spacing w:before="0" w:after="16" w:line="252" w:lineRule="auto"/>
              <w:ind w:firstLine="480"/>
              <w:jc w:val="left"/>
            </w:pPr>
            <w:r>
              <w:rPr>
                <w:rFonts w:ascii="宋体" w:hAnsi="宋体" w:eastAsia="宋体"/>
                <w:b w:val="0"/>
                <w:sz w:val="24"/>
              </w:rPr>
              <w:t>该扩展模块不要求具备逐次呼吸气体交换分析、标准12导联运动心电等CPET功能。扩展模块可由平台原生提供，也可集成第三方成熟设备；如供应商提供该模块，应说明设备组成、结果指标、与平台的数据集成方式及单独</w:t>
            </w:r>
            <w:r>
              <w:rPr>
                <w:rFonts w:ascii="宋体" w:hAnsi="宋体" w:eastAsia="宋体" w:cs="宋体"/>
                <w:sz w:val="24"/>
                <w:szCs w:val="24"/>
              </w:rPr>
              <w:t>分项报价、完整硬件参数清单。</w:t>
            </w:r>
          </w:p>
          <w:p w14:paraId="2BA04789">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1</w:t>
            </w:r>
            <w:r>
              <w:rPr>
                <w:rFonts w:ascii="宋体" w:hAnsi="宋体" w:eastAsia="宋体"/>
                <w:b w:val="0"/>
                <w:sz w:val="24"/>
              </w:rPr>
              <w:t>.个体化管理目标功能</w:t>
            </w:r>
          </w:p>
          <w:p w14:paraId="0105C7CB">
            <w:pPr>
              <w:widowControl w:val="0"/>
              <w:numPr>
                <w:ilvl w:val="0"/>
                <w:numId w:val="0"/>
              </w:numPr>
              <w:spacing w:before="0" w:after="16" w:line="252" w:lineRule="auto"/>
              <w:ind w:firstLine="480"/>
              <w:jc w:val="left"/>
            </w:pPr>
            <w:r>
              <w:rPr>
                <w:rFonts w:ascii="宋体" w:hAnsi="宋体" w:eastAsia="宋体"/>
                <w:b w:val="0"/>
                <w:sz w:val="24"/>
              </w:rPr>
              <w:t>应支持根据健康状况和评估结果设置阶段性运动健康管理目标。管理目标应能够与后续运动处方、训练执行、随访及再评估结果关联，并允许在不同管理周期中调整。</w:t>
            </w:r>
          </w:p>
          <w:p w14:paraId="12C22190">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2</w:t>
            </w:r>
            <w:r>
              <w:rPr>
                <w:rFonts w:ascii="宋体" w:hAnsi="宋体" w:eastAsia="宋体"/>
                <w:b w:val="0"/>
                <w:sz w:val="24"/>
              </w:rPr>
              <w:t>.运动处方综合管理功能</w:t>
            </w:r>
          </w:p>
          <w:p w14:paraId="660F4FD4">
            <w:pPr>
              <w:widowControl w:val="0"/>
              <w:numPr>
                <w:ilvl w:val="0"/>
                <w:numId w:val="0"/>
              </w:numPr>
              <w:spacing w:before="0" w:after="16" w:line="252" w:lineRule="auto"/>
              <w:ind w:firstLine="480"/>
              <w:jc w:val="left"/>
            </w:pPr>
            <w:r>
              <w:rPr>
                <w:rFonts w:ascii="宋体" w:hAnsi="宋体" w:eastAsia="宋体"/>
                <w:b w:val="0"/>
                <w:sz w:val="24"/>
              </w:rPr>
              <w:t>应支持有氧运动、抗阻运动、柔韧性运动和平衡/神经肌肉训练的个体化处方制定；应支持根据实际需要增加其他适宜运动方式或传统体育运动项目。</w:t>
            </w:r>
          </w:p>
          <w:p w14:paraId="4A39DC03">
            <w:pPr>
              <w:widowControl w:val="0"/>
              <w:numPr>
                <w:ilvl w:val="0"/>
                <w:numId w:val="0"/>
              </w:numPr>
              <w:spacing w:before="0" w:after="16" w:line="252" w:lineRule="auto"/>
              <w:ind w:firstLine="480"/>
              <w:jc w:val="left"/>
            </w:pPr>
            <w:r>
              <w:rPr>
                <w:rFonts w:ascii="宋体" w:hAnsi="宋体" w:eastAsia="宋体"/>
                <w:b w:val="0"/>
                <w:sz w:val="24"/>
              </w:rPr>
              <w:t>不同运动类型可独立制定，也可形成组合运动处方。</w:t>
            </w:r>
          </w:p>
          <w:p w14:paraId="6770A5E1">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3</w:t>
            </w:r>
            <w:r>
              <w:rPr>
                <w:rFonts w:ascii="宋体" w:hAnsi="宋体" w:eastAsia="宋体"/>
                <w:b w:val="0"/>
                <w:sz w:val="24"/>
              </w:rPr>
              <w:t>.FITT-VP运动处方功能</w:t>
            </w:r>
          </w:p>
          <w:p w14:paraId="64B9AD35">
            <w:pPr>
              <w:widowControl w:val="0"/>
              <w:numPr>
                <w:ilvl w:val="0"/>
                <w:numId w:val="0"/>
              </w:numPr>
              <w:spacing w:before="0" w:after="16" w:line="252" w:lineRule="auto"/>
              <w:ind w:firstLine="480"/>
              <w:jc w:val="left"/>
            </w:pPr>
            <w:r>
              <w:rPr>
                <w:rFonts w:ascii="宋体" w:hAnsi="宋体" w:eastAsia="宋体"/>
                <w:b w:val="0"/>
                <w:sz w:val="24"/>
              </w:rPr>
              <w:t>运动处方应能够按照FITT-VP原则进行结构化设置，至少包括：（1）运动目的或阶段目标；（2）运动频率；（3）运动强度；（4）运动方式；（5）单次运动时间；（6）周运动总量或相应总训练量，具备相应数据时可采用目标能耗等方式表示；（7）运动进阶安排；（8）运动注意事项及安全要求。</w:t>
            </w:r>
          </w:p>
          <w:p w14:paraId="1F09384E">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4</w:t>
            </w:r>
            <w:r>
              <w:rPr>
                <w:rFonts w:ascii="宋体" w:hAnsi="宋体" w:eastAsia="宋体"/>
                <w:b w:val="0"/>
                <w:sz w:val="24"/>
              </w:rPr>
              <w:t>.有氧运动处方功能</w:t>
            </w:r>
          </w:p>
          <w:p w14:paraId="653AA12B">
            <w:pPr>
              <w:widowControl w:val="0"/>
              <w:numPr>
                <w:ilvl w:val="0"/>
                <w:numId w:val="0"/>
              </w:numPr>
              <w:spacing w:before="0" w:after="16" w:line="252" w:lineRule="auto"/>
              <w:ind w:firstLine="480"/>
              <w:jc w:val="left"/>
            </w:pPr>
            <w:r>
              <w:rPr>
                <w:rFonts w:ascii="宋体" w:hAnsi="宋体" w:eastAsia="宋体"/>
                <w:b w:val="0"/>
                <w:sz w:val="24"/>
              </w:rPr>
              <w:t>有氧运动处方至少应能够设置运动方式、运动频率、运动时间和运动强度。</w:t>
            </w:r>
          </w:p>
          <w:p w14:paraId="028D7C20">
            <w:pPr>
              <w:widowControl w:val="0"/>
              <w:numPr>
                <w:ilvl w:val="0"/>
                <w:numId w:val="0"/>
              </w:numPr>
              <w:spacing w:before="0" w:after="16" w:line="252" w:lineRule="auto"/>
              <w:ind w:firstLine="480"/>
              <w:jc w:val="left"/>
            </w:pPr>
            <w:r>
              <w:rPr>
                <w:rFonts w:ascii="宋体" w:hAnsi="宋体" w:eastAsia="宋体"/>
                <w:b w:val="0"/>
                <w:sz w:val="24"/>
              </w:rPr>
              <w:t>运动强度应支持采用心率、最大心率百分比、心率储备、摄氧量/摄氧储备、代谢当量、功率、速度/配速或其他经评估获得的等效量化指标中的适用方式进行设置。</w:t>
            </w:r>
          </w:p>
          <w:p w14:paraId="30F79E73">
            <w:pPr>
              <w:widowControl w:val="0"/>
              <w:numPr>
                <w:ilvl w:val="0"/>
                <w:numId w:val="0"/>
              </w:numPr>
              <w:spacing w:before="0" w:after="16" w:line="252" w:lineRule="auto"/>
              <w:ind w:firstLine="480"/>
              <w:jc w:val="left"/>
            </w:pPr>
            <w:r>
              <w:rPr>
                <w:rFonts w:ascii="宋体" w:hAnsi="宋体" w:eastAsia="宋体"/>
                <w:b w:val="0"/>
                <w:sz w:val="24"/>
              </w:rPr>
              <w:t>应支持记录热身、主要训练及整理恢复阶段，并支持运动量和强度的阶段性进阶。</w:t>
            </w:r>
          </w:p>
          <w:p w14:paraId="0B367C88">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5</w:t>
            </w:r>
            <w:r>
              <w:rPr>
                <w:rFonts w:ascii="宋体" w:hAnsi="宋体" w:eastAsia="宋体"/>
                <w:b w:val="0"/>
                <w:sz w:val="24"/>
              </w:rPr>
              <w:t>.抗阻运动处方功能</w:t>
            </w:r>
          </w:p>
          <w:p w14:paraId="44CE7234">
            <w:pPr>
              <w:widowControl w:val="0"/>
              <w:numPr>
                <w:ilvl w:val="0"/>
                <w:numId w:val="0"/>
              </w:numPr>
              <w:spacing w:before="0" w:after="16" w:line="252" w:lineRule="auto"/>
              <w:ind w:firstLine="480"/>
              <w:jc w:val="left"/>
            </w:pPr>
            <w:r>
              <w:rPr>
                <w:rFonts w:ascii="宋体" w:hAnsi="宋体" w:eastAsia="宋体"/>
                <w:b w:val="0"/>
                <w:sz w:val="24"/>
              </w:rPr>
              <w:t>抗阻运动处方至少应能够设置训练动作或训练部位、训练负荷、组数、每组重复次数、组间休息、训练频率及训练进阶。</w:t>
            </w:r>
          </w:p>
          <w:p w14:paraId="7240EE72">
            <w:pPr>
              <w:widowControl w:val="0"/>
              <w:numPr>
                <w:ilvl w:val="0"/>
                <w:numId w:val="0"/>
              </w:numPr>
              <w:spacing w:before="0" w:after="16" w:line="252" w:lineRule="auto"/>
              <w:ind w:firstLine="480"/>
              <w:jc w:val="left"/>
            </w:pPr>
            <w:r>
              <w:rPr>
                <w:rFonts w:ascii="宋体" w:hAnsi="宋体" w:eastAsia="宋体"/>
                <w:b w:val="0"/>
                <w:sz w:val="24"/>
              </w:rPr>
              <w:t>训练负荷应支持采用绝对负荷、1RM/e1RM百分比或其他经评估获得的等效量化方式进行设置。</w:t>
            </w:r>
          </w:p>
          <w:p w14:paraId="07656EC3">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6</w:t>
            </w:r>
            <w:r>
              <w:rPr>
                <w:rFonts w:ascii="宋体" w:hAnsi="宋体" w:eastAsia="宋体"/>
                <w:b w:val="0"/>
                <w:sz w:val="24"/>
              </w:rPr>
              <w:t>.柔韧性及平衡训练处方功能</w:t>
            </w:r>
          </w:p>
          <w:p w14:paraId="0607E216">
            <w:pPr>
              <w:widowControl w:val="0"/>
              <w:numPr>
                <w:ilvl w:val="0"/>
                <w:numId w:val="0"/>
              </w:numPr>
              <w:spacing w:before="0" w:after="16" w:line="252" w:lineRule="auto"/>
              <w:ind w:firstLine="480"/>
              <w:jc w:val="left"/>
            </w:pPr>
            <w:r>
              <w:rPr>
                <w:rFonts w:ascii="宋体" w:hAnsi="宋体" w:eastAsia="宋体"/>
                <w:b w:val="0"/>
                <w:sz w:val="24"/>
              </w:rPr>
              <w:t>柔韧性训练应能够记录训练部位/动作、持续时间或重复次数、组数及训练频率；平衡或神经肌肉训练应能够记录训练动作、训练时间或重复次数、训练难度及训练频率。</w:t>
            </w:r>
          </w:p>
          <w:p w14:paraId="25F58FCC">
            <w:pPr>
              <w:widowControl w:val="0"/>
              <w:numPr>
                <w:ilvl w:val="0"/>
                <w:numId w:val="0"/>
              </w:numPr>
              <w:spacing w:before="0" w:after="16" w:line="252" w:lineRule="auto"/>
              <w:ind w:firstLine="480"/>
              <w:jc w:val="left"/>
            </w:pPr>
            <w:r>
              <w:rPr>
                <w:rFonts w:ascii="宋体" w:hAnsi="宋体" w:eastAsia="宋体"/>
                <w:b w:val="0"/>
                <w:sz w:val="24"/>
              </w:rPr>
              <w:t>应支持根据阶段性评估结果调整训练内容和难度。</w:t>
            </w:r>
          </w:p>
          <w:p w14:paraId="7D3106BE">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7</w:t>
            </w:r>
            <w:r>
              <w:rPr>
                <w:rFonts w:ascii="宋体" w:hAnsi="宋体" w:eastAsia="宋体"/>
                <w:b w:val="0"/>
                <w:sz w:val="24"/>
              </w:rPr>
              <w:t>.运动处方辅助生成与人工确认功能</w:t>
            </w:r>
          </w:p>
          <w:p w14:paraId="6AFA7D20">
            <w:pPr>
              <w:widowControl w:val="0"/>
              <w:numPr>
                <w:ilvl w:val="0"/>
                <w:numId w:val="0"/>
              </w:numPr>
              <w:spacing w:before="0" w:after="16" w:line="252" w:lineRule="auto"/>
              <w:ind w:firstLine="480"/>
              <w:jc w:val="left"/>
            </w:pPr>
            <w:r>
              <w:rPr>
                <w:rFonts w:ascii="宋体" w:hAnsi="宋体" w:eastAsia="宋体"/>
                <w:b w:val="0"/>
                <w:sz w:val="24"/>
              </w:rPr>
              <w:t>系统应能够综合运动风险、心肺耐力、肌力、身体成分及其他已完成的适用评估结果、健康状况和管理目标，提供运动处方模板、规则支持或个体化处方建议。</w:t>
            </w:r>
          </w:p>
          <w:p w14:paraId="6F3C6526">
            <w:pPr>
              <w:widowControl w:val="0"/>
              <w:numPr>
                <w:ilvl w:val="0"/>
                <w:numId w:val="0"/>
              </w:numPr>
              <w:spacing w:before="0" w:after="16" w:line="252" w:lineRule="auto"/>
              <w:ind w:firstLine="480"/>
              <w:jc w:val="left"/>
            </w:pPr>
            <w:r>
              <w:rPr>
                <w:rFonts w:ascii="宋体" w:hAnsi="宋体" w:eastAsia="宋体"/>
                <w:b w:val="0"/>
                <w:sz w:val="24"/>
              </w:rPr>
              <w:t>系统生成或推荐的处方应支持专业人员人工查看、修改、确认后使用，不得以自动推荐结果替代人工确认</w:t>
            </w:r>
            <w:r>
              <w:rPr>
                <w:rFonts w:hint="eastAsia" w:ascii="宋体" w:hAnsi="宋体" w:eastAsia="宋体"/>
                <w:b w:val="0"/>
                <w:sz w:val="24"/>
                <w:lang w:eastAsia="zh-CN"/>
              </w:rPr>
              <w:t>，</w:t>
            </w:r>
            <w:r>
              <w:rPr>
                <w:rFonts w:ascii="宋体" w:hAnsi="宋体" w:eastAsia="宋体" w:cs="宋体"/>
                <w:sz w:val="24"/>
                <w:szCs w:val="24"/>
              </w:rPr>
              <w:t>处方确认、修改操作记入审计日志</w:t>
            </w:r>
            <w:r>
              <w:rPr>
                <w:rFonts w:ascii="宋体" w:hAnsi="宋体" w:eastAsia="宋体"/>
                <w:b w:val="0"/>
                <w:sz w:val="24"/>
              </w:rPr>
              <w:t>。</w:t>
            </w:r>
          </w:p>
          <w:p w14:paraId="640347EF">
            <w:pPr>
              <w:widowControl w:val="0"/>
              <w:numPr>
                <w:ilvl w:val="0"/>
                <w:numId w:val="0"/>
              </w:numPr>
              <w:spacing w:before="0" w:after="16" w:line="252" w:lineRule="auto"/>
              <w:ind w:firstLine="480"/>
              <w:jc w:val="left"/>
            </w:pPr>
            <w:r>
              <w:rPr>
                <w:rFonts w:ascii="宋体" w:hAnsi="宋体" w:eastAsia="宋体"/>
                <w:b w:val="0"/>
                <w:sz w:val="24"/>
              </w:rPr>
              <w:t>1</w:t>
            </w:r>
            <w:r>
              <w:rPr>
                <w:rFonts w:hint="eastAsia" w:ascii="宋体" w:hAnsi="宋体" w:eastAsia="宋体"/>
                <w:b w:val="0"/>
                <w:sz w:val="24"/>
                <w:lang w:val="en-US" w:eastAsia="zh-CN"/>
              </w:rPr>
              <w:t>8</w:t>
            </w:r>
            <w:r>
              <w:rPr>
                <w:rFonts w:ascii="宋体" w:hAnsi="宋体" w:eastAsia="宋体"/>
                <w:b w:val="0"/>
                <w:sz w:val="24"/>
              </w:rPr>
              <w:t>.运动处方审核与版本管理功能</w:t>
            </w:r>
          </w:p>
          <w:p w14:paraId="0CE86BFE">
            <w:pPr>
              <w:widowControl w:val="0"/>
              <w:numPr>
                <w:ilvl w:val="0"/>
                <w:numId w:val="0"/>
              </w:numPr>
              <w:spacing w:before="0" w:after="16" w:line="252" w:lineRule="auto"/>
              <w:ind w:firstLine="480"/>
              <w:jc w:val="left"/>
            </w:pPr>
            <w:r>
              <w:rPr>
                <w:rFonts w:ascii="宋体" w:hAnsi="宋体" w:eastAsia="宋体"/>
                <w:b w:val="0"/>
                <w:sz w:val="24"/>
              </w:rPr>
              <w:t>应支持根据医院实际管理流程启用运动处方审核或确认功能。处方修改后应能够保留历次处方记录，区分不同管理周期或不同版本，并能够查询处方制定、调整及确认时间。</w:t>
            </w:r>
            <w:r>
              <w:rPr>
                <w:rFonts w:ascii="宋体" w:hAnsi="宋体" w:eastAsia="宋体" w:cs="宋体"/>
                <w:sz w:val="24"/>
                <w:szCs w:val="24"/>
              </w:rPr>
              <w:t>旧版本处方不可被覆盖删除。</w:t>
            </w:r>
          </w:p>
          <w:p w14:paraId="6ACE513C">
            <w:pPr>
              <w:widowControl w:val="0"/>
              <w:numPr>
                <w:ilvl w:val="0"/>
                <w:numId w:val="0"/>
              </w:numPr>
              <w:spacing w:before="0" w:after="16" w:line="252" w:lineRule="auto"/>
              <w:ind w:firstLine="480"/>
              <w:jc w:val="left"/>
            </w:pPr>
            <w:r>
              <w:rPr>
                <w:rFonts w:hint="eastAsia" w:ascii="宋体" w:hAnsi="宋体" w:eastAsia="宋体"/>
                <w:b w:val="0"/>
                <w:sz w:val="24"/>
                <w:lang w:val="en-US" w:eastAsia="zh-CN"/>
              </w:rPr>
              <w:t>19</w:t>
            </w:r>
            <w:r>
              <w:rPr>
                <w:rFonts w:ascii="宋体" w:hAnsi="宋体" w:eastAsia="宋体"/>
                <w:b w:val="0"/>
                <w:sz w:val="24"/>
              </w:rPr>
              <w:t>.运动处方模板及运动项目库功能</w:t>
            </w:r>
          </w:p>
          <w:p w14:paraId="36C28510">
            <w:pPr>
              <w:widowControl w:val="0"/>
              <w:numPr>
                <w:ilvl w:val="0"/>
                <w:numId w:val="0"/>
              </w:numPr>
              <w:spacing w:before="0" w:after="16" w:line="252" w:lineRule="auto"/>
              <w:ind w:firstLine="480"/>
              <w:jc w:val="left"/>
            </w:pPr>
            <w:r>
              <w:rPr>
                <w:rFonts w:ascii="宋体" w:hAnsi="宋体" w:eastAsia="宋体"/>
                <w:b w:val="0"/>
                <w:sz w:val="24"/>
              </w:rPr>
              <w:t>应支持建立、保存、调用和修改常用运动处方模板，并支持运动项目或训练动作的分类管理和自定义增加。不限定预置运动项目或训练动作的具体数量。</w:t>
            </w:r>
            <w:r>
              <w:rPr>
                <w:rFonts w:ascii="宋体" w:hAnsi="宋体" w:eastAsia="宋体" w:cs="宋体"/>
                <w:snapToGrid w:val="0"/>
                <w:color w:val="000000"/>
                <w:kern w:val="0"/>
                <w:sz w:val="24"/>
                <w:szCs w:val="24"/>
                <w:lang w:val="en-US" w:eastAsia="zh-CN" w:bidi="ar"/>
              </w:rPr>
              <w:t>模板修改操作留日志。</w:t>
            </w:r>
          </w:p>
          <w:p w14:paraId="2D48CF42">
            <w:pPr>
              <w:widowControl w:val="0"/>
              <w:numPr>
                <w:ilvl w:val="0"/>
                <w:numId w:val="0"/>
              </w:numPr>
              <w:spacing w:before="0" w:after="16" w:line="252" w:lineRule="auto"/>
              <w:ind w:firstLine="480"/>
              <w:jc w:val="left"/>
            </w:pPr>
            <w:r>
              <w:rPr>
                <w:rFonts w:hint="eastAsia" w:ascii="宋体" w:hAnsi="宋体" w:eastAsia="宋体"/>
                <w:b w:val="0"/>
                <w:sz w:val="24"/>
                <w:lang w:val="en-US" w:eastAsia="zh-CN"/>
              </w:rPr>
              <w:t>20</w:t>
            </w:r>
            <w:r>
              <w:rPr>
                <w:rFonts w:ascii="宋体" w:hAnsi="宋体" w:eastAsia="宋体"/>
                <w:b w:val="0"/>
                <w:sz w:val="24"/>
              </w:rPr>
              <w:t>.营养评估与营养指导管理功能</w:t>
            </w:r>
          </w:p>
          <w:p w14:paraId="4CB18BB4">
            <w:pPr>
              <w:widowControl w:val="0"/>
              <w:numPr>
                <w:ilvl w:val="0"/>
                <w:numId w:val="0"/>
              </w:numPr>
              <w:spacing w:before="0" w:after="16" w:line="252" w:lineRule="auto"/>
              <w:ind w:firstLine="480"/>
              <w:jc w:val="left"/>
            </w:pPr>
            <w:r>
              <w:rPr>
                <w:rFonts w:ascii="宋体" w:hAnsi="宋体" w:eastAsia="宋体"/>
                <w:b w:val="0"/>
                <w:sz w:val="24"/>
              </w:rPr>
              <w:t>应支持结合受试者体重、BMI、身体成分、饮食情况及健康管理目标进行营养相关记录和评估；在已获得肌肉量、体脂率等身体成分结果时，应能够一并调用。应能够制定、编辑和保存个体化营养指导。</w:t>
            </w:r>
          </w:p>
          <w:p w14:paraId="1C98EA30">
            <w:pPr>
              <w:widowControl w:val="0"/>
              <w:numPr>
                <w:ilvl w:val="0"/>
                <w:numId w:val="0"/>
              </w:numPr>
              <w:spacing w:before="0" w:after="16" w:line="252" w:lineRule="auto"/>
              <w:ind w:firstLine="480"/>
              <w:jc w:val="left"/>
            </w:pPr>
            <w:r>
              <w:rPr>
                <w:rFonts w:ascii="宋体" w:hAnsi="宋体" w:eastAsia="宋体"/>
                <w:b w:val="0"/>
                <w:sz w:val="24"/>
              </w:rPr>
              <w:t>营养指导应支持能量摄入目标、主要营养素或膳食结构建议以及饮食注意事项中的适用内容，并能够与运动处方和管理目标关联。</w:t>
            </w:r>
          </w:p>
          <w:p w14:paraId="2F4833C6">
            <w:pPr>
              <w:widowControl w:val="0"/>
              <w:numPr>
                <w:ilvl w:val="-1"/>
                <w:numId w:val="0"/>
              </w:numPr>
              <w:spacing w:before="0" w:after="16" w:line="252" w:lineRule="auto"/>
              <w:ind w:firstLine="480"/>
              <w:jc w:val="left"/>
              <w:rPr>
                <w:rFonts w:ascii="宋体" w:hAnsi="宋体" w:eastAsia="宋体"/>
                <w:b w:val="0"/>
                <w:sz w:val="24"/>
              </w:rPr>
            </w:pPr>
            <w:r>
              <w:rPr>
                <w:rFonts w:hint="eastAsia" w:ascii="宋体" w:hAnsi="宋体" w:eastAsia="宋体"/>
                <w:b w:val="0"/>
                <w:sz w:val="24"/>
                <w:lang w:val="en-US" w:eastAsia="zh-CN"/>
              </w:rPr>
              <w:t>21</w:t>
            </w:r>
            <w:r>
              <w:rPr>
                <w:rFonts w:ascii="宋体" w:hAnsi="宋体" w:eastAsia="宋体"/>
                <w:b w:val="0"/>
                <w:sz w:val="24"/>
              </w:rPr>
              <w:t>患者/居民移动端服务功能</w:t>
            </w:r>
          </w:p>
          <w:p w14:paraId="5498BE55">
            <w:pPr>
              <w:widowControl w:val="0"/>
              <w:numPr>
                <w:ilvl w:val="0"/>
                <w:numId w:val="0"/>
              </w:numPr>
              <w:spacing w:before="0" w:after="16" w:line="252" w:lineRule="auto"/>
              <w:ind w:firstLine="480"/>
              <w:jc w:val="left"/>
            </w:pPr>
            <w:r>
              <w:rPr>
                <w:rFonts w:ascii="宋体" w:hAnsi="宋体" w:eastAsia="宋体"/>
                <w:b w:val="0"/>
                <w:sz w:val="24"/>
              </w:rPr>
              <w:t>应提供手机端、移动网页、小程序或其他等效移动应用方式，使受试者能够查看本人评估结果、运动处方、营养指导、运动注意事项、训练计划和随访提醒。对平台已经采集的血压、血糖、身体成分、运动能力等历史结果，应支持按权限在移动端查询相应记录或趋势。不限定具体移动应用形式或第三方平台。</w:t>
            </w:r>
            <w:r>
              <w:rPr>
                <w:rFonts w:ascii="宋体" w:hAnsi="宋体" w:eastAsia="宋体" w:cs="宋体"/>
                <w:snapToGrid w:val="0"/>
                <w:color w:val="000000"/>
                <w:kern w:val="0"/>
                <w:sz w:val="24"/>
                <w:szCs w:val="24"/>
                <w:lang w:val="en-US" w:eastAsia="zh-CN" w:bidi="ar"/>
              </w:rPr>
              <w:t>需兼容主流安卓、iOS版本；支持国产移动操作系统。移动端需具备账号密码策略、会话超时自动退出、登录安全校验，严格控制患者端数据访问权限。</w:t>
            </w:r>
          </w:p>
          <w:p w14:paraId="7CB2AE51">
            <w:pPr>
              <w:widowControl w:val="0"/>
              <w:numPr>
                <w:ilvl w:val="0"/>
                <w:numId w:val="0"/>
              </w:numPr>
              <w:spacing w:before="0" w:after="16" w:line="252" w:lineRule="auto"/>
              <w:ind w:firstLine="480"/>
              <w:jc w:val="left"/>
            </w:pPr>
            <w:r>
              <w:rPr>
                <w:rFonts w:ascii="宋体" w:hAnsi="宋体" w:eastAsia="宋体"/>
                <w:b w:val="0"/>
                <w:sz w:val="24"/>
              </w:rPr>
              <w:t>2</w:t>
            </w:r>
            <w:r>
              <w:rPr>
                <w:rFonts w:hint="eastAsia" w:ascii="宋体" w:hAnsi="宋体" w:eastAsia="宋体"/>
                <w:b w:val="0"/>
                <w:sz w:val="24"/>
                <w:lang w:val="en-US" w:eastAsia="zh-CN"/>
              </w:rPr>
              <w:t>2</w:t>
            </w:r>
            <w:r>
              <w:rPr>
                <w:rFonts w:ascii="宋体" w:hAnsi="宋体" w:eastAsia="宋体"/>
                <w:b w:val="0"/>
                <w:sz w:val="24"/>
              </w:rPr>
              <w:t>.运动指导内容下发功能</w:t>
            </w:r>
          </w:p>
          <w:p w14:paraId="3D62CD97">
            <w:pPr>
              <w:widowControl w:val="0"/>
              <w:numPr>
                <w:ilvl w:val="0"/>
                <w:numId w:val="0"/>
              </w:numPr>
              <w:spacing w:before="0" w:after="16" w:line="252" w:lineRule="auto"/>
              <w:ind w:firstLine="480"/>
              <w:jc w:val="left"/>
            </w:pPr>
            <w:r>
              <w:rPr>
                <w:rFonts w:ascii="宋体" w:hAnsi="宋体" w:eastAsia="宋体"/>
                <w:b w:val="0"/>
                <w:sz w:val="24"/>
              </w:rPr>
              <w:t>应支持将运动动作、训练要求及注意事项下发至受试者端。运动指导内容可采用文字、图片、视频或其他便于执行的形式，并能够与相应运动处方项目关联。</w:t>
            </w:r>
          </w:p>
          <w:p w14:paraId="41FA0E07">
            <w:pPr>
              <w:widowControl w:val="0"/>
              <w:numPr>
                <w:ilvl w:val="0"/>
                <w:numId w:val="0"/>
              </w:numPr>
              <w:spacing w:before="0" w:after="16" w:line="252" w:lineRule="auto"/>
              <w:ind w:firstLine="480"/>
              <w:jc w:val="left"/>
            </w:pPr>
            <w:r>
              <w:rPr>
                <w:rFonts w:ascii="宋体" w:hAnsi="宋体" w:eastAsia="宋体"/>
                <w:b w:val="0"/>
                <w:sz w:val="24"/>
              </w:rPr>
              <w:t>2</w:t>
            </w:r>
            <w:r>
              <w:rPr>
                <w:rFonts w:hint="eastAsia" w:ascii="宋体" w:hAnsi="宋体" w:eastAsia="宋体"/>
                <w:b w:val="0"/>
                <w:sz w:val="24"/>
                <w:lang w:val="en-US" w:eastAsia="zh-CN"/>
              </w:rPr>
              <w:t>3</w:t>
            </w:r>
            <w:r>
              <w:rPr>
                <w:rFonts w:ascii="宋体" w:hAnsi="宋体" w:eastAsia="宋体"/>
                <w:b w:val="0"/>
                <w:sz w:val="24"/>
              </w:rPr>
              <w:t>.院外运动记录与反馈功能</w:t>
            </w:r>
          </w:p>
          <w:p w14:paraId="0944DA55">
            <w:pPr>
              <w:widowControl w:val="0"/>
              <w:numPr>
                <w:ilvl w:val="0"/>
                <w:numId w:val="0"/>
              </w:numPr>
              <w:spacing w:before="0" w:after="16" w:line="252" w:lineRule="auto"/>
              <w:ind w:firstLine="480"/>
              <w:jc w:val="left"/>
              <w:rPr>
                <w:rFonts w:ascii="宋体" w:hAnsi="宋体" w:eastAsia="宋体"/>
                <w:b w:val="0"/>
                <w:sz w:val="24"/>
              </w:rPr>
            </w:pPr>
            <w:r>
              <w:rPr>
                <w:rFonts w:ascii="宋体" w:hAnsi="宋体" w:eastAsia="宋体"/>
                <w:b w:val="0"/>
                <w:sz w:val="24"/>
              </w:rPr>
              <w:t>应支持受试者在院外或非中心训练场景记录运动完成情况，可通过人工记录、移动端反馈、可穿戴设备或其他兼容方式上传实际运动数据。</w:t>
            </w:r>
          </w:p>
          <w:p w14:paraId="2A500160">
            <w:pPr>
              <w:widowControl w:val="0"/>
              <w:numPr>
                <w:ilvl w:val="0"/>
                <w:numId w:val="0"/>
              </w:numPr>
              <w:spacing w:before="0" w:after="16" w:line="252" w:lineRule="auto"/>
              <w:ind w:firstLine="480"/>
              <w:jc w:val="left"/>
            </w:pPr>
            <w:r>
              <w:rPr>
                <w:rFonts w:ascii="宋体" w:hAnsi="宋体" w:eastAsia="宋体"/>
                <w:b w:val="0"/>
                <w:sz w:val="24"/>
              </w:rPr>
              <w:t>应支持记录运动日期、运动类型、持续时间和完成情况，并能够接收运动强度、心率、能量消耗或运动量等可获得的数据。</w:t>
            </w:r>
            <w:r>
              <w:rPr>
                <w:rFonts w:ascii="宋体" w:hAnsi="宋体" w:eastAsia="宋体" w:cs="宋体"/>
                <w:snapToGrid w:val="0"/>
                <w:color w:val="000000"/>
                <w:kern w:val="0"/>
                <w:sz w:val="24"/>
                <w:szCs w:val="24"/>
                <w:lang w:val="en-US" w:eastAsia="zh-CN" w:bidi="ar"/>
              </w:rPr>
              <w:t>说明可穿戴设备支持协议（蓝牙/MQTT等）。</w:t>
            </w:r>
          </w:p>
          <w:p w14:paraId="43A0489B">
            <w:pPr>
              <w:widowControl w:val="0"/>
              <w:numPr>
                <w:ilvl w:val="0"/>
                <w:numId w:val="0"/>
              </w:numPr>
              <w:spacing w:before="0" w:after="16" w:line="252" w:lineRule="auto"/>
              <w:ind w:firstLine="480"/>
              <w:jc w:val="left"/>
            </w:pPr>
            <w:r>
              <w:rPr>
                <w:rFonts w:ascii="宋体" w:hAnsi="宋体" w:eastAsia="宋体"/>
                <w:b w:val="0"/>
                <w:sz w:val="24"/>
              </w:rPr>
              <w:t>2</w:t>
            </w:r>
            <w:r>
              <w:rPr>
                <w:rFonts w:hint="eastAsia" w:ascii="宋体" w:hAnsi="宋体" w:eastAsia="宋体"/>
                <w:b w:val="0"/>
                <w:sz w:val="24"/>
                <w:lang w:val="en-US" w:eastAsia="zh-CN"/>
              </w:rPr>
              <w:t>4</w:t>
            </w:r>
            <w:r>
              <w:rPr>
                <w:rFonts w:ascii="宋体" w:hAnsi="宋体" w:eastAsia="宋体"/>
                <w:b w:val="0"/>
                <w:sz w:val="24"/>
              </w:rPr>
              <w:t>.运动处方执行情况分析功能</w:t>
            </w:r>
          </w:p>
          <w:p w14:paraId="26103044">
            <w:pPr>
              <w:widowControl w:val="0"/>
              <w:numPr>
                <w:ilvl w:val="0"/>
                <w:numId w:val="0"/>
              </w:numPr>
              <w:spacing w:before="0" w:after="16" w:line="252" w:lineRule="auto"/>
              <w:ind w:firstLine="480"/>
              <w:jc w:val="left"/>
            </w:pPr>
            <w:r>
              <w:rPr>
                <w:rFonts w:ascii="宋体" w:hAnsi="宋体" w:eastAsia="宋体"/>
                <w:b w:val="0"/>
                <w:sz w:val="24"/>
              </w:rPr>
              <w:t>应能够将处方计划与实际训练执行情况进行对应和比较。至少应能够统计计划训练次数、实际完成次数、训练持续时间及总体完成情况；能够获得相应数据时，应进一步统计实际运动强度、训练负荷、组数/重复次数、运动量或能量消耗。应能够形成运动处方执行率或其他明确的依从性结果。</w:t>
            </w:r>
          </w:p>
          <w:p w14:paraId="1A667B9F">
            <w:pPr>
              <w:widowControl w:val="0"/>
              <w:numPr>
                <w:ilvl w:val="0"/>
                <w:numId w:val="0"/>
              </w:numPr>
              <w:spacing w:before="0" w:after="16" w:line="252" w:lineRule="auto"/>
              <w:ind w:firstLine="480"/>
              <w:jc w:val="left"/>
            </w:pPr>
            <w:r>
              <w:rPr>
                <w:rFonts w:ascii="宋体" w:hAnsi="宋体" w:eastAsia="宋体"/>
                <w:b w:val="0"/>
                <w:sz w:val="24"/>
              </w:rPr>
              <w:t>2</w:t>
            </w:r>
            <w:r>
              <w:rPr>
                <w:rFonts w:hint="eastAsia" w:ascii="宋体" w:hAnsi="宋体" w:eastAsia="宋体"/>
                <w:b w:val="0"/>
                <w:sz w:val="24"/>
                <w:lang w:val="en-US" w:eastAsia="zh-CN"/>
              </w:rPr>
              <w:t>5</w:t>
            </w:r>
            <w:r>
              <w:rPr>
                <w:rFonts w:ascii="宋体" w:hAnsi="宋体" w:eastAsia="宋体"/>
                <w:b w:val="0"/>
                <w:sz w:val="24"/>
              </w:rPr>
              <w:t>.训练设备、监测设备数据关联及接入管理功能</w:t>
            </w:r>
          </w:p>
          <w:p w14:paraId="7605522B">
            <w:pPr>
              <w:widowControl w:val="0"/>
              <w:numPr>
                <w:ilvl w:val="0"/>
                <w:numId w:val="0"/>
              </w:numPr>
              <w:spacing w:before="0" w:after="16" w:line="252" w:lineRule="auto"/>
              <w:ind w:firstLine="480"/>
              <w:jc w:val="left"/>
            </w:pPr>
            <w:r>
              <w:rPr>
                <w:rFonts w:ascii="宋体" w:hAnsi="宋体" w:eastAsia="宋体"/>
                <w:b w:val="0"/>
                <w:sz w:val="24"/>
              </w:rPr>
              <w:t>平台应支持与本实验室运动评估、训练及监测设备进行数据交换或结果导入。拟接入范围可包括心肺运动试验、肌力评估、平衡、足底压力、表面肌电、心率/可穿戴监测、身体成分/体质评估、基础心肺耐力等设备。对具备开放接口条件的设备，宜采用接口方式实现数据交换；对暂不具备开放接口条件的设备，应支持通过Excel、CSV或其他通用结构化数据文件导入主要测试结果。</w:t>
            </w:r>
          </w:p>
          <w:p w14:paraId="6B231AE7">
            <w:pPr>
              <w:widowControl w:val="0"/>
              <w:numPr>
                <w:ilvl w:val="0"/>
                <w:numId w:val="0"/>
              </w:numPr>
              <w:spacing w:before="0" w:after="16" w:line="252" w:lineRule="auto"/>
              <w:ind w:firstLine="480"/>
              <w:jc w:val="left"/>
            </w:pPr>
            <w:r>
              <w:rPr>
                <w:rFonts w:ascii="宋体" w:hAnsi="宋体" w:eastAsia="宋体"/>
                <w:b w:val="0"/>
                <w:sz w:val="24"/>
              </w:rPr>
              <w:t>对医疗器械类设备进行数据对接时，平台侧应提供必要的接口说明，包括数据交换方式、主要数据字段、数据格式、身份关联方式及安全措施；接口接入不应要求对原医疗器械已注册/备案的软件功能、核心算法或控制逻辑进行未经许可的修改，也不应影响原设备的正常功能和安全使用。</w:t>
            </w:r>
          </w:p>
          <w:p w14:paraId="781D3990">
            <w:pPr>
              <w:widowControl w:val="0"/>
              <w:numPr>
                <w:ilvl w:val="0"/>
                <w:numId w:val="0"/>
              </w:numPr>
              <w:spacing w:before="0" w:after="16" w:line="252" w:lineRule="auto"/>
              <w:ind w:firstLine="480"/>
              <w:jc w:val="left"/>
            </w:pPr>
            <w:r>
              <w:rPr>
                <w:rFonts w:ascii="宋体" w:hAnsi="宋体" w:eastAsia="宋体"/>
                <w:b w:val="0"/>
                <w:sz w:val="24"/>
              </w:rPr>
              <w:t>应能够将运动处方或训练任务发送至兼容训练终端，并接收实际训练结果；不限定必须采用自动调档、自动改变阻力或其他特定设备控制方式。</w:t>
            </w:r>
          </w:p>
          <w:p w14:paraId="496F0824">
            <w:pPr>
              <w:widowControl w:val="0"/>
              <w:numPr>
                <w:ilvl w:val="-1"/>
                <w:numId w:val="0"/>
              </w:numPr>
              <w:spacing w:before="0" w:after="16" w:line="252" w:lineRule="auto"/>
              <w:ind w:firstLine="480"/>
              <w:jc w:val="left"/>
              <w:rPr>
                <w:rFonts w:ascii="宋体" w:hAnsi="宋体" w:eastAsia="宋体"/>
                <w:b w:val="0"/>
                <w:sz w:val="24"/>
              </w:rPr>
            </w:pPr>
            <w:r>
              <w:rPr>
                <w:rFonts w:hint="eastAsia" w:ascii="宋体" w:hAnsi="宋体" w:eastAsia="宋体"/>
                <w:b w:val="0"/>
                <w:sz w:val="24"/>
                <w:lang w:val="en-US" w:eastAsia="zh-CN"/>
              </w:rPr>
              <w:t>26.</w:t>
            </w:r>
            <w:r>
              <w:rPr>
                <w:rFonts w:ascii="宋体" w:hAnsi="宋体" w:eastAsia="宋体"/>
                <w:b w:val="0"/>
                <w:sz w:val="24"/>
              </w:rPr>
              <w:t>运动安全监测数据管理功能</w:t>
            </w:r>
          </w:p>
          <w:p w14:paraId="25B193B9">
            <w:pPr>
              <w:widowControl w:val="0"/>
              <w:numPr>
                <w:ilvl w:val="0"/>
                <w:numId w:val="0"/>
              </w:numPr>
              <w:spacing w:before="0" w:after="16" w:line="252" w:lineRule="auto"/>
              <w:ind w:firstLine="480"/>
              <w:jc w:val="left"/>
            </w:pPr>
            <w:r>
              <w:rPr>
                <w:rFonts w:ascii="宋体" w:hAnsi="宋体" w:eastAsia="宋体"/>
                <w:b w:val="0"/>
                <w:sz w:val="24"/>
              </w:rPr>
              <w:t>应能够接收兼容监测设备获得的运动心率及其他适用安全监测数据，并支持后台实时查看运动心率、安全范围以及能够获得的运动时间、能量消耗或运动量等信息。应支持个体目标心率或安全阈值管理；运动过程中出现超过预设安全范围的数据时，应能够形成明确的异常提示或预警记录。</w:t>
            </w:r>
            <w:r>
              <w:rPr>
                <w:rFonts w:ascii="宋体" w:hAnsi="宋体" w:eastAsia="宋体" w:cs="宋体"/>
                <w:snapToGrid w:val="0"/>
                <w:color w:val="000000"/>
                <w:kern w:val="0"/>
                <w:sz w:val="24"/>
                <w:szCs w:val="24"/>
                <w:lang w:val="en-US" w:eastAsia="zh-CN" w:bidi="ar"/>
              </w:rPr>
              <w:t>预警记录永久保存，不可删除。平台需具备系统级运行告警，包含数据库异常、接口断开、外设设备断连等系统故障告警提示。</w:t>
            </w:r>
          </w:p>
          <w:p w14:paraId="66E9C6EB">
            <w:pPr>
              <w:widowControl w:val="0"/>
              <w:numPr>
                <w:ilvl w:val="0"/>
                <w:numId w:val="0"/>
              </w:numPr>
              <w:spacing w:before="0" w:after="16" w:line="252" w:lineRule="auto"/>
              <w:ind w:firstLine="480"/>
              <w:jc w:val="left"/>
            </w:pPr>
            <w:r>
              <w:rPr>
                <w:rFonts w:ascii="宋体" w:hAnsi="宋体" w:eastAsia="宋体"/>
                <w:b w:val="0"/>
                <w:sz w:val="24"/>
              </w:rPr>
              <w:t>2</w:t>
            </w:r>
            <w:r>
              <w:rPr>
                <w:rFonts w:hint="eastAsia" w:ascii="宋体" w:hAnsi="宋体" w:eastAsia="宋体"/>
                <w:b w:val="0"/>
                <w:sz w:val="24"/>
                <w:lang w:val="en-US" w:eastAsia="zh-CN"/>
              </w:rPr>
              <w:t>7</w:t>
            </w:r>
            <w:r>
              <w:rPr>
                <w:rFonts w:ascii="宋体" w:hAnsi="宋体" w:eastAsia="宋体"/>
                <w:b w:val="0"/>
                <w:sz w:val="24"/>
              </w:rPr>
              <w:t>.随访管理功能</w:t>
            </w:r>
          </w:p>
          <w:p w14:paraId="333441AE">
            <w:pPr>
              <w:widowControl w:val="0"/>
              <w:numPr>
                <w:ilvl w:val="0"/>
                <w:numId w:val="0"/>
              </w:numPr>
              <w:spacing w:before="0" w:after="16" w:line="252" w:lineRule="auto"/>
              <w:ind w:firstLine="480"/>
              <w:jc w:val="left"/>
            </w:pPr>
            <w:r>
              <w:rPr>
                <w:rFonts w:ascii="宋体" w:hAnsi="宋体" w:eastAsia="宋体"/>
                <w:b w:val="0"/>
                <w:sz w:val="24"/>
              </w:rPr>
              <w:t>应支持建立个体化随访计划和随访任务，并能够记录运动处方执行情况、运动感受、症状、不适或不良事件、主要健康指标变化及其他随访内容。</w:t>
            </w:r>
          </w:p>
          <w:p w14:paraId="373B3529">
            <w:pPr>
              <w:widowControl w:val="0"/>
              <w:numPr>
                <w:ilvl w:val="0"/>
                <w:numId w:val="0"/>
              </w:numPr>
              <w:spacing w:before="0" w:after="16" w:line="252" w:lineRule="auto"/>
              <w:ind w:firstLine="480"/>
              <w:jc w:val="left"/>
            </w:pPr>
            <w:r>
              <w:rPr>
                <w:rFonts w:ascii="宋体" w:hAnsi="宋体" w:eastAsia="宋体"/>
                <w:b w:val="0"/>
                <w:sz w:val="24"/>
              </w:rPr>
              <w:t>应支持到期随访、处方到期、异常数据或需要重新评估等情况的提醒。</w:t>
            </w:r>
          </w:p>
          <w:p w14:paraId="0238C5F5">
            <w:pPr>
              <w:widowControl w:val="0"/>
              <w:numPr>
                <w:ilvl w:val="0"/>
                <w:numId w:val="0"/>
              </w:numPr>
              <w:spacing w:before="0" w:after="16" w:line="252" w:lineRule="auto"/>
              <w:ind w:firstLine="480"/>
              <w:jc w:val="left"/>
            </w:pPr>
            <w:r>
              <w:rPr>
                <w:rFonts w:ascii="宋体" w:hAnsi="宋体" w:eastAsia="宋体"/>
                <w:b w:val="0"/>
                <w:sz w:val="24"/>
              </w:rPr>
              <w:t>2</w:t>
            </w:r>
            <w:r>
              <w:rPr>
                <w:rFonts w:hint="eastAsia" w:ascii="宋体" w:hAnsi="宋体" w:eastAsia="宋体"/>
                <w:b w:val="0"/>
                <w:sz w:val="24"/>
                <w:lang w:val="en-US" w:eastAsia="zh-CN"/>
              </w:rPr>
              <w:t>8</w:t>
            </w:r>
            <w:r>
              <w:rPr>
                <w:rFonts w:ascii="宋体" w:hAnsi="宋体" w:eastAsia="宋体"/>
                <w:b w:val="0"/>
                <w:sz w:val="24"/>
              </w:rPr>
              <w:t>.问卷及量表管理功能</w:t>
            </w:r>
          </w:p>
          <w:p w14:paraId="487C4CE9">
            <w:pPr>
              <w:widowControl w:val="0"/>
              <w:numPr>
                <w:ilvl w:val="0"/>
                <w:numId w:val="0"/>
              </w:numPr>
              <w:spacing w:before="0" w:after="16" w:line="252" w:lineRule="auto"/>
              <w:ind w:firstLine="480"/>
              <w:jc w:val="left"/>
            </w:pPr>
            <w:r>
              <w:rPr>
                <w:rFonts w:ascii="宋体" w:hAnsi="宋体" w:eastAsia="宋体"/>
                <w:b w:val="0"/>
                <w:sz w:val="24"/>
              </w:rPr>
              <w:t>应支持运动风险、运动行为、生活方式及慢病管理相关结构化问卷或量表的录入、填写、自动评分/汇总（适用时）和历史记录。</w:t>
            </w:r>
          </w:p>
          <w:p w14:paraId="7343D731">
            <w:pPr>
              <w:widowControl w:val="0"/>
              <w:numPr>
                <w:ilvl w:val="0"/>
                <w:numId w:val="0"/>
              </w:numPr>
              <w:spacing w:before="0" w:after="16" w:line="252" w:lineRule="auto"/>
              <w:ind w:firstLine="480"/>
              <w:jc w:val="left"/>
            </w:pPr>
            <w:r>
              <w:rPr>
                <w:rFonts w:ascii="宋体" w:hAnsi="宋体" w:eastAsia="宋体"/>
                <w:b w:val="0"/>
                <w:sz w:val="24"/>
              </w:rPr>
              <w:t>核心应包括运动风险筛查及慢病/健康风险相关内容，并支持根据医院业务需要扩展其他规范问卷或量表；不限定预置问卷和量表的具体数量。</w:t>
            </w:r>
          </w:p>
          <w:p w14:paraId="27DC2616">
            <w:pPr>
              <w:widowControl w:val="0"/>
              <w:numPr>
                <w:ilvl w:val="0"/>
                <w:numId w:val="0"/>
              </w:numPr>
              <w:spacing w:before="0" w:after="16" w:line="252" w:lineRule="auto"/>
              <w:ind w:firstLine="480"/>
              <w:jc w:val="left"/>
            </w:pPr>
            <w:r>
              <w:rPr>
                <w:rFonts w:hint="eastAsia" w:ascii="宋体" w:hAnsi="宋体" w:eastAsia="宋体"/>
                <w:b w:val="0"/>
                <w:sz w:val="24"/>
                <w:lang w:val="en-US" w:eastAsia="zh-CN"/>
              </w:rPr>
              <w:t>29</w:t>
            </w:r>
            <w:r>
              <w:rPr>
                <w:rFonts w:ascii="宋体" w:hAnsi="宋体" w:eastAsia="宋体"/>
                <w:b w:val="0"/>
                <w:sz w:val="24"/>
              </w:rPr>
              <w:t>.再评估与处方进阶功能</w:t>
            </w:r>
          </w:p>
          <w:p w14:paraId="13796A68">
            <w:pPr>
              <w:widowControl w:val="0"/>
              <w:numPr>
                <w:ilvl w:val="0"/>
                <w:numId w:val="0"/>
              </w:numPr>
              <w:spacing w:before="0" w:after="16" w:line="252" w:lineRule="auto"/>
              <w:ind w:firstLine="480"/>
              <w:jc w:val="left"/>
            </w:pPr>
            <w:r>
              <w:rPr>
                <w:rFonts w:ascii="宋体" w:hAnsi="宋体" w:eastAsia="宋体"/>
                <w:b w:val="0"/>
                <w:sz w:val="24"/>
              </w:rPr>
              <w:t>应支持按管理周期进行重新评估，并将再评估结果与既往结果进行比较。根据健康状态、运动能力和处方执行情况，应能够建立新的运动处方或调整原处方中的运动频率、强度、时间、方式、总量及进阶安排。</w:t>
            </w:r>
          </w:p>
          <w:p w14:paraId="55D19941">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0</w:t>
            </w:r>
            <w:r>
              <w:rPr>
                <w:rFonts w:ascii="宋体" w:hAnsi="宋体" w:eastAsia="宋体"/>
                <w:b w:val="0"/>
                <w:sz w:val="24"/>
              </w:rPr>
              <w:t>.纵向趋势分析功能</w:t>
            </w:r>
          </w:p>
          <w:p w14:paraId="0514BBAC">
            <w:pPr>
              <w:widowControl w:val="0"/>
              <w:numPr>
                <w:ilvl w:val="0"/>
                <w:numId w:val="0"/>
              </w:numPr>
              <w:spacing w:before="0" w:after="16" w:line="252" w:lineRule="auto"/>
              <w:ind w:firstLine="480"/>
              <w:jc w:val="left"/>
            </w:pPr>
            <w:r>
              <w:rPr>
                <w:rFonts w:ascii="宋体" w:hAnsi="宋体" w:eastAsia="宋体"/>
                <w:b w:val="0"/>
                <w:sz w:val="24"/>
              </w:rPr>
              <w:t>应支持同一受试者不同时间点健康及运动数据的纵向比较。至少应能够对心肺耐力、肌力、身体成分及主要慢病/临床指标中已采集的数据形成历史趋势，并可采用趋势图、对比图或其他直观方式展示；接入平衡、柔韧性及其他运动功能评价结果后，应支持相应指标的纵向比较。</w:t>
            </w:r>
          </w:p>
          <w:p w14:paraId="63D577B4">
            <w:pPr>
              <w:widowControl w:val="0"/>
              <w:numPr>
                <w:ilvl w:val="0"/>
                <w:numId w:val="0"/>
              </w:numPr>
              <w:spacing w:before="0" w:after="16" w:line="252" w:lineRule="auto"/>
              <w:ind w:firstLine="480"/>
              <w:jc w:val="left"/>
            </w:pPr>
            <w:r>
              <w:rPr>
                <w:rFonts w:ascii="宋体" w:hAnsi="宋体" w:eastAsia="宋体"/>
                <w:b w:val="0"/>
                <w:sz w:val="24"/>
              </w:rPr>
              <w:t>训练次数、运动时间、运动量及处方执行情况应能够形成周期性趋势。</w:t>
            </w:r>
          </w:p>
          <w:p w14:paraId="1C3910F9">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1</w:t>
            </w:r>
            <w:r>
              <w:rPr>
                <w:rFonts w:ascii="宋体" w:hAnsi="宋体" w:eastAsia="宋体"/>
                <w:b w:val="0"/>
                <w:sz w:val="24"/>
              </w:rPr>
              <w:t>.个人综合报告功能</w:t>
            </w:r>
          </w:p>
          <w:p w14:paraId="6F8604CF">
            <w:pPr>
              <w:widowControl w:val="0"/>
              <w:numPr>
                <w:ilvl w:val="0"/>
                <w:numId w:val="0"/>
              </w:numPr>
              <w:spacing w:before="0" w:after="16" w:line="252" w:lineRule="auto"/>
              <w:ind w:firstLine="480"/>
              <w:jc w:val="left"/>
            </w:pPr>
            <w:r>
              <w:rPr>
                <w:rFonts w:ascii="宋体" w:hAnsi="宋体" w:eastAsia="宋体"/>
                <w:b w:val="0"/>
                <w:sz w:val="24"/>
              </w:rPr>
              <w:t>应能够生成个人运动健康综合报告。报告至少应能够汇总基本信息、主要疾病及用药信息、运动风险结果及其他主要评估结果、管理目标、运动处方和营养指导；具有随访和训练数据时，应能够呈现处方执行情况及主要历史变化。</w:t>
            </w:r>
          </w:p>
          <w:p w14:paraId="0129C724">
            <w:pPr>
              <w:widowControl w:val="0"/>
              <w:numPr>
                <w:ilvl w:val="0"/>
                <w:numId w:val="0"/>
              </w:numPr>
              <w:spacing w:before="0" w:after="16" w:line="252" w:lineRule="auto"/>
              <w:ind w:firstLine="480"/>
              <w:jc w:val="left"/>
            </w:pPr>
            <w:r>
              <w:rPr>
                <w:rFonts w:ascii="宋体" w:hAnsi="宋体" w:eastAsia="宋体"/>
                <w:b w:val="0"/>
                <w:sz w:val="24"/>
              </w:rPr>
              <w:t>报告应支持查看、打印或电子文件导出。</w:t>
            </w:r>
          </w:p>
          <w:p w14:paraId="44F19A0F">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2</w:t>
            </w:r>
            <w:r>
              <w:rPr>
                <w:rFonts w:ascii="宋体" w:hAnsi="宋体" w:eastAsia="宋体"/>
                <w:b w:val="0"/>
                <w:sz w:val="24"/>
              </w:rPr>
              <w:t>.中心运营统计功能</w:t>
            </w:r>
          </w:p>
          <w:p w14:paraId="7DA265DB">
            <w:pPr>
              <w:widowControl w:val="0"/>
              <w:numPr>
                <w:ilvl w:val="0"/>
                <w:numId w:val="0"/>
              </w:numPr>
              <w:spacing w:before="0" w:after="16" w:line="252" w:lineRule="auto"/>
              <w:ind w:firstLine="480"/>
              <w:jc w:val="left"/>
              <w:rPr>
                <w:rFonts w:ascii="宋体" w:hAnsi="宋体" w:eastAsia="宋体"/>
                <w:b w:val="0"/>
                <w:sz w:val="24"/>
              </w:rPr>
            </w:pPr>
            <w:r>
              <w:rPr>
                <w:rFonts w:ascii="宋体" w:hAnsi="宋体" w:eastAsia="宋体"/>
                <w:b w:val="0"/>
                <w:sz w:val="24"/>
              </w:rPr>
              <w:t>应支持按日、月、年或自定义时间范围统计运动健康中心服务情况。至少能够统计服务人数/人次、检测或评估人次、运动处方数量、运动干预/训练人次及随访情况；应能够查看当日或指定时段的受试者、已完成项目和待完成项目等基本业务状态。</w:t>
            </w:r>
          </w:p>
          <w:p w14:paraId="5BD76A6A">
            <w:pPr>
              <w:widowControl w:val="0"/>
              <w:numPr>
                <w:ilvl w:val="0"/>
                <w:numId w:val="0"/>
              </w:numPr>
              <w:spacing w:before="0" w:after="16" w:line="252" w:lineRule="auto"/>
              <w:ind w:firstLine="480"/>
              <w:jc w:val="left"/>
            </w:pPr>
            <w:r>
              <w:rPr>
                <w:rFonts w:ascii="宋体" w:hAnsi="宋体" w:eastAsia="宋体"/>
                <w:b w:val="0"/>
                <w:sz w:val="24"/>
              </w:rPr>
              <w:t>应支持按照年龄、性别、健康风险、运动处方类型或其他适用分类进行汇总统计。</w:t>
            </w:r>
            <w:r>
              <w:rPr>
                <w:rFonts w:ascii="宋体" w:hAnsi="宋体" w:eastAsia="宋体" w:cs="宋体"/>
                <w:snapToGrid w:val="0"/>
                <w:color w:val="000000"/>
                <w:kern w:val="0"/>
                <w:sz w:val="24"/>
                <w:szCs w:val="24"/>
                <w:lang w:val="en-US" w:eastAsia="zh-CN" w:bidi="ar"/>
              </w:rPr>
              <w:t>统计报表支持导出Excel。</w:t>
            </w:r>
          </w:p>
          <w:p w14:paraId="6B595FDD">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3</w:t>
            </w:r>
            <w:r>
              <w:rPr>
                <w:rFonts w:ascii="宋体" w:hAnsi="宋体" w:eastAsia="宋体"/>
                <w:b w:val="0"/>
                <w:sz w:val="24"/>
              </w:rPr>
              <w:t>.科研样本筛选与数据查询功能</w:t>
            </w:r>
          </w:p>
          <w:p w14:paraId="41CD52F8">
            <w:pPr>
              <w:widowControl w:val="0"/>
              <w:numPr>
                <w:ilvl w:val="0"/>
                <w:numId w:val="0"/>
              </w:numPr>
              <w:spacing w:before="0" w:after="16" w:line="252" w:lineRule="auto"/>
              <w:ind w:firstLine="480"/>
              <w:jc w:val="left"/>
            </w:pPr>
            <w:r>
              <w:rPr>
                <w:rFonts w:ascii="宋体" w:hAnsi="宋体" w:eastAsia="宋体"/>
                <w:b w:val="0"/>
                <w:sz w:val="24"/>
              </w:rPr>
              <w:t>应支持根据受试者基本特征、疾病/风险类别、评估指标、测试日期、处方类型、训练执行情况和随访状态等条件进行组合查询和科研样本筛选，并能够对选定人群的历史数据进行调用。</w:t>
            </w:r>
          </w:p>
          <w:p w14:paraId="2A59F499">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4</w:t>
            </w:r>
            <w:r>
              <w:rPr>
                <w:rFonts w:ascii="宋体" w:hAnsi="宋体" w:eastAsia="宋体"/>
                <w:b w:val="0"/>
                <w:sz w:val="24"/>
              </w:rPr>
              <w:t>.科研结构化数据导出功能</w:t>
            </w:r>
          </w:p>
          <w:p w14:paraId="2E2F5563">
            <w:pPr>
              <w:widowControl w:val="0"/>
              <w:numPr>
                <w:ilvl w:val="0"/>
                <w:numId w:val="0"/>
              </w:numPr>
              <w:spacing w:before="0" w:after="16" w:line="252" w:lineRule="auto"/>
              <w:ind w:firstLine="480"/>
              <w:jc w:val="left"/>
            </w:pPr>
            <w:r>
              <w:rPr>
                <w:rFonts w:ascii="宋体" w:hAnsi="宋体" w:eastAsia="宋体"/>
                <w:b w:val="0"/>
                <w:sz w:val="24"/>
              </w:rPr>
              <w:t>应支持将运动健康管理数据以Excel、CSV、TXT或其他通用结构化格式导出，便于使用统计分析软件开展科研分析。</w:t>
            </w:r>
          </w:p>
          <w:p w14:paraId="39CE25D0">
            <w:pPr>
              <w:widowControl w:val="0"/>
              <w:numPr>
                <w:ilvl w:val="0"/>
                <w:numId w:val="0"/>
              </w:numPr>
              <w:spacing w:before="0" w:after="16" w:line="252" w:lineRule="auto"/>
              <w:ind w:firstLine="480"/>
              <w:jc w:val="left"/>
              <w:rPr>
                <w:rFonts w:ascii="宋体" w:hAnsi="宋体" w:eastAsia="宋体"/>
                <w:b w:val="0"/>
                <w:sz w:val="24"/>
              </w:rPr>
            </w:pPr>
            <w:r>
              <w:rPr>
                <w:rFonts w:ascii="宋体" w:hAnsi="宋体" w:eastAsia="宋体"/>
                <w:b w:val="0"/>
                <w:sz w:val="24"/>
              </w:rPr>
              <w:t>导出数据至少应能够包含：受试者编号或研究编号、基本人口学信息、运动风险结果、评估日期及主要评估指标、管理目标、运动处方各要素、处方版本/周期、训练日期、训练类型、实际训练时间、运动强度或负荷、训练完成情况/依从性、主要随访结果及再评估结果。</w:t>
            </w:r>
          </w:p>
          <w:p w14:paraId="5B0CC675">
            <w:pPr>
              <w:widowControl w:val="0"/>
              <w:numPr>
                <w:ilvl w:val="0"/>
                <w:numId w:val="0"/>
              </w:numPr>
              <w:spacing w:before="0" w:after="16" w:line="252" w:lineRule="auto"/>
              <w:ind w:firstLine="480"/>
              <w:jc w:val="left"/>
            </w:pPr>
            <w:r>
              <w:rPr>
                <w:rFonts w:ascii="宋体" w:hAnsi="宋体" w:eastAsia="宋体"/>
                <w:b w:val="0"/>
                <w:sz w:val="24"/>
              </w:rPr>
              <w:t>科研数据不得仅以PDF报告或图片形式提供。</w:t>
            </w:r>
            <w:r>
              <w:rPr>
                <w:rFonts w:ascii="宋体" w:hAnsi="宋体" w:eastAsia="宋体" w:cs="宋体"/>
                <w:snapToGrid w:val="0"/>
                <w:color w:val="000000"/>
                <w:kern w:val="0"/>
                <w:sz w:val="24"/>
                <w:szCs w:val="24"/>
                <w:lang w:val="en-US" w:eastAsia="zh-CN" w:bidi="ar"/>
              </w:rPr>
              <w:t>导出操作记入审计日志。科研数据导出操作须经过管理员权限审批后方可执行。</w:t>
            </w:r>
          </w:p>
          <w:p w14:paraId="7DD77D99">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5</w:t>
            </w:r>
            <w:r>
              <w:rPr>
                <w:rFonts w:ascii="宋体" w:hAnsi="宋体" w:eastAsia="宋体"/>
                <w:b w:val="0"/>
                <w:sz w:val="24"/>
              </w:rPr>
              <w:t>.科研数据脱敏管理功能</w:t>
            </w:r>
          </w:p>
          <w:p w14:paraId="23509750">
            <w:pPr>
              <w:widowControl w:val="0"/>
              <w:numPr>
                <w:ilvl w:val="0"/>
                <w:numId w:val="0"/>
              </w:numPr>
              <w:spacing w:before="0" w:after="16" w:line="252" w:lineRule="auto"/>
              <w:ind w:firstLine="480"/>
              <w:jc w:val="left"/>
            </w:pPr>
            <w:r>
              <w:rPr>
                <w:rFonts w:ascii="宋体" w:hAnsi="宋体" w:eastAsia="宋体"/>
                <w:b w:val="0"/>
                <w:sz w:val="24"/>
              </w:rPr>
              <w:t>应支持以研究编号或其他脱敏标识管理、查询或导出科研数据，在科研数据导出时能够按照权限要求减少或去除不必要的直接身份信息。</w:t>
            </w:r>
          </w:p>
          <w:p w14:paraId="392890F2">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6</w:t>
            </w:r>
            <w:r>
              <w:rPr>
                <w:rFonts w:ascii="宋体" w:hAnsi="宋体" w:eastAsia="宋体"/>
                <w:b w:val="0"/>
                <w:sz w:val="24"/>
              </w:rPr>
              <w:t>.医院信息系统及第三方系统接口功能</w:t>
            </w:r>
          </w:p>
          <w:p w14:paraId="1BC91B89">
            <w:pPr>
              <w:widowControl w:val="0"/>
              <w:numPr>
                <w:ilvl w:val="0"/>
                <w:numId w:val="0"/>
              </w:numPr>
              <w:spacing w:before="0" w:after="16" w:line="252" w:lineRule="auto"/>
              <w:ind w:firstLine="480"/>
              <w:jc w:val="left"/>
            </w:pPr>
            <w:r>
              <w:rPr>
                <w:rFonts w:ascii="宋体" w:hAnsi="宋体" w:eastAsia="宋体"/>
                <w:b w:val="0"/>
                <w:sz w:val="24"/>
              </w:rPr>
              <w:t>平台应具备与医院现有HIS/患者主索引、体检系统、院内集成平台及其他实际需要的业务信息系统进行数据交换的能力。具体对接系统、数据范围、接口方式和实施优先级由医院信息化主管部门结合实际业务流程确定；检验、检查等数据可通过医院既有集成平台、授权接口或其他合规方式获取，不强制要求平台直接连接每一个院内业务系统。</w:t>
            </w:r>
          </w:p>
          <w:p w14:paraId="4A71D044">
            <w:pPr>
              <w:widowControl w:val="0"/>
              <w:numPr>
                <w:ilvl w:val="0"/>
                <w:numId w:val="0"/>
              </w:numPr>
              <w:spacing w:before="0" w:after="16" w:line="252" w:lineRule="auto"/>
              <w:ind w:firstLine="480"/>
              <w:jc w:val="left"/>
            </w:pPr>
            <w:r>
              <w:rPr>
                <w:rFonts w:ascii="宋体" w:hAnsi="宋体" w:eastAsia="宋体"/>
                <w:b w:val="0"/>
                <w:sz w:val="24"/>
              </w:rPr>
              <w:t>平台与第三方系统或设备进行数据交换时，应支持明确的数据来源标识和身份关联，避免不同来源数据混淆。</w:t>
            </w:r>
          </w:p>
          <w:p w14:paraId="0DE27D3B">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7</w:t>
            </w:r>
            <w:r>
              <w:rPr>
                <w:rFonts w:ascii="宋体" w:hAnsi="宋体" w:eastAsia="宋体"/>
                <w:b w:val="0"/>
                <w:sz w:val="24"/>
              </w:rPr>
              <w:t>.接口实施责任及费用边界</w:t>
            </w:r>
          </w:p>
          <w:p w14:paraId="193690F0">
            <w:pPr>
              <w:widowControl w:val="0"/>
              <w:numPr>
                <w:ilvl w:val="0"/>
                <w:numId w:val="0"/>
              </w:numPr>
              <w:spacing w:before="0" w:after="16" w:line="252" w:lineRule="auto"/>
              <w:ind w:firstLine="480"/>
              <w:jc w:val="left"/>
              <w:rPr>
                <w:rFonts w:ascii="宋体" w:hAnsi="宋体" w:eastAsia="宋体"/>
                <w:b w:val="0"/>
                <w:sz w:val="24"/>
              </w:rPr>
            </w:pPr>
            <w:r>
              <w:rPr>
                <w:rFonts w:ascii="宋体" w:hAnsi="宋体" w:eastAsia="宋体"/>
                <w:b w:val="0"/>
                <w:sz w:val="24"/>
              </w:rPr>
              <w:t>供应商应在市场调研或投标响应中，对医院拟接入的系统和设备逐项说明当前支持方式、是否需要二次开发、第三方配合条件、接口文档要求、预计实施周期及相关费用。</w:t>
            </w:r>
          </w:p>
          <w:p w14:paraId="27DEADE0">
            <w:pPr>
              <w:widowControl w:val="0"/>
              <w:numPr>
                <w:ilvl w:val="0"/>
                <w:numId w:val="0"/>
              </w:numPr>
              <w:spacing w:before="0" w:after="16" w:line="252" w:lineRule="auto"/>
              <w:ind w:firstLine="480"/>
              <w:jc w:val="left"/>
            </w:pPr>
            <w:r>
              <w:rPr>
                <w:rFonts w:ascii="宋体" w:hAnsi="宋体" w:eastAsia="宋体"/>
                <w:b w:val="0"/>
                <w:sz w:val="24"/>
              </w:rPr>
              <w:t>对最终采购合同中明确纳入实施范围的接口，其平台侧开发、联调、测试和上线费用应包含在合同约定价格中；因采购范围后续变更产生的新增接口除外。</w:t>
            </w:r>
          </w:p>
          <w:p w14:paraId="09273AF9">
            <w:pPr>
              <w:widowControl w:val="0"/>
              <w:numPr>
                <w:ilvl w:val="0"/>
                <w:numId w:val="0"/>
              </w:numPr>
              <w:spacing w:before="0" w:after="16" w:line="252" w:lineRule="auto"/>
              <w:ind w:firstLine="480"/>
              <w:jc w:val="left"/>
            </w:pPr>
            <w:r>
              <w:rPr>
                <w:rFonts w:ascii="宋体" w:hAnsi="宋体" w:eastAsia="宋体"/>
                <w:b w:val="0"/>
                <w:sz w:val="24"/>
              </w:rPr>
              <w:t>3</w:t>
            </w:r>
            <w:r>
              <w:rPr>
                <w:rFonts w:hint="eastAsia" w:ascii="宋体" w:hAnsi="宋体" w:eastAsia="宋体"/>
                <w:b w:val="0"/>
                <w:sz w:val="24"/>
                <w:lang w:val="en-US" w:eastAsia="zh-CN"/>
              </w:rPr>
              <w:t>8</w:t>
            </w:r>
            <w:r>
              <w:rPr>
                <w:rFonts w:ascii="宋体" w:hAnsi="宋体" w:eastAsia="宋体"/>
                <w:b w:val="0"/>
                <w:sz w:val="24"/>
              </w:rPr>
              <w:t>.数据安全与网络安全功能</w:t>
            </w:r>
          </w:p>
          <w:p w14:paraId="0BA8E111">
            <w:pPr>
              <w:widowControl w:val="0"/>
              <w:numPr>
                <w:ilvl w:val="0"/>
                <w:numId w:val="0"/>
              </w:numPr>
              <w:spacing w:before="0" w:after="16" w:line="252" w:lineRule="auto"/>
              <w:ind w:firstLine="480"/>
              <w:jc w:val="left"/>
            </w:pPr>
            <w:r>
              <w:rPr>
                <w:rFonts w:ascii="宋体" w:hAnsi="宋体" w:eastAsia="宋体"/>
                <w:b w:val="0"/>
                <w:sz w:val="24"/>
              </w:rPr>
              <w:t>平台应按照医院网络安全、数据安全和个人信息保护要求进行建设和部署，具备用户身份鉴别、角色权限控制、最小必要访问、重要操作日志审计、数据备份恢复等基本安全能力。受试者身份信息、医疗健康及运动健康数据在传输、存储和使用过程中应采取与数据敏感程度相适应的安全保护措施，支持必要的加密、脱敏或去标识化处理，防止未经授权的访问、泄露、篡改和丢失。</w:t>
            </w:r>
          </w:p>
          <w:p w14:paraId="1E829418">
            <w:pPr>
              <w:widowControl w:val="0"/>
              <w:numPr>
                <w:ilvl w:val="0"/>
                <w:numId w:val="0"/>
              </w:numPr>
              <w:spacing w:before="0" w:after="16" w:line="252" w:lineRule="auto"/>
              <w:ind w:firstLine="480"/>
              <w:jc w:val="left"/>
            </w:pPr>
            <w:r>
              <w:rPr>
                <w:rFonts w:ascii="宋体" w:hAnsi="宋体" w:eastAsia="宋体"/>
                <w:b w:val="0"/>
                <w:sz w:val="24"/>
              </w:rPr>
              <w:t>数据存储、备份和云服务使用方式应符合医院信息化管理要求；如采用院外云服务或第三方托管，应明确数据存储位置、访问权限、安全责任和备份恢复机制，并经医院相关管理部门审核。未经授权，不得将受试者敏感健康数据用于本项目之外的用途。</w:t>
            </w:r>
          </w:p>
          <w:p w14:paraId="73A54092">
            <w:pPr>
              <w:widowControl w:val="0"/>
              <w:numPr>
                <w:ilvl w:val="0"/>
                <w:numId w:val="0"/>
              </w:numPr>
              <w:spacing w:before="0" w:after="16" w:line="252" w:lineRule="auto"/>
              <w:ind w:firstLine="480"/>
              <w:jc w:val="left"/>
            </w:pPr>
            <w:r>
              <w:rPr>
                <w:rFonts w:ascii="宋体" w:hAnsi="宋体" w:eastAsia="宋体"/>
                <w:b w:val="0"/>
                <w:sz w:val="24"/>
              </w:rPr>
              <w:t>系统应能够配合医院按照国家网络安全等级保护制度开展定级、备案、测评、整改及相关安全管理工作，具体安全保护等级以医院信息化主管部门依法确定的结果为准。供应商应提供必要的网络安全配置说明、升级维护和漏洞修复支持。</w:t>
            </w:r>
          </w:p>
          <w:p w14:paraId="7E28EFC4">
            <w:pPr>
              <w:widowControl w:val="0"/>
              <w:numPr>
                <w:ilvl w:val="0"/>
                <w:numId w:val="0"/>
              </w:numPr>
              <w:spacing w:before="0" w:after="16" w:line="252" w:lineRule="auto"/>
              <w:ind w:firstLine="480"/>
              <w:jc w:val="left"/>
            </w:pPr>
            <w:r>
              <w:rPr>
                <w:rFonts w:hint="eastAsia" w:ascii="宋体" w:hAnsi="宋体" w:eastAsia="宋体"/>
                <w:b w:val="0"/>
                <w:sz w:val="24"/>
                <w:lang w:val="en-US" w:eastAsia="zh-CN"/>
              </w:rPr>
              <w:t>39</w:t>
            </w:r>
            <w:r>
              <w:rPr>
                <w:rFonts w:ascii="宋体" w:hAnsi="宋体" w:eastAsia="宋体"/>
                <w:b w:val="0"/>
                <w:sz w:val="24"/>
              </w:rPr>
              <w:t>.多角色权限管理功能</w:t>
            </w:r>
          </w:p>
          <w:p w14:paraId="7FE7DE3D">
            <w:pPr>
              <w:widowControl w:val="0"/>
              <w:numPr>
                <w:ilvl w:val="0"/>
                <w:numId w:val="0"/>
              </w:numPr>
              <w:spacing w:before="0" w:after="16" w:line="252" w:lineRule="auto"/>
              <w:ind w:firstLine="480"/>
              <w:jc w:val="left"/>
            </w:pPr>
            <w:r>
              <w:rPr>
                <w:rFonts w:ascii="宋体" w:hAnsi="宋体" w:eastAsia="宋体"/>
                <w:b w:val="0"/>
                <w:sz w:val="24"/>
              </w:rPr>
              <w:t>应支持按照医生、治疗师/运动专业人员、管理员及其他实际岗位设置不同的功能和数据访问权限。应能够限制不同角色对患者档案、处方制定/审核、随访、数据导出和系统管理等功能的操作范围。</w:t>
            </w:r>
          </w:p>
          <w:p w14:paraId="5FDFE03B">
            <w:pPr>
              <w:widowControl w:val="0"/>
              <w:numPr>
                <w:ilvl w:val="0"/>
                <w:numId w:val="0"/>
              </w:numPr>
              <w:spacing w:before="0" w:after="16" w:line="252" w:lineRule="auto"/>
              <w:ind w:firstLine="480"/>
              <w:jc w:val="left"/>
            </w:pPr>
            <w:r>
              <w:rPr>
                <w:rFonts w:ascii="宋体" w:hAnsi="宋体" w:eastAsia="宋体"/>
                <w:b w:val="0"/>
                <w:sz w:val="24"/>
              </w:rPr>
              <w:t>4</w:t>
            </w:r>
            <w:r>
              <w:rPr>
                <w:rFonts w:hint="eastAsia" w:ascii="宋体" w:hAnsi="宋体" w:eastAsia="宋体"/>
                <w:b w:val="0"/>
                <w:sz w:val="24"/>
                <w:lang w:val="en-US" w:eastAsia="zh-CN"/>
              </w:rPr>
              <w:t>0</w:t>
            </w:r>
            <w:r>
              <w:rPr>
                <w:rFonts w:ascii="宋体" w:hAnsi="宋体" w:eastAsia="宋体"/>
                <w:b w:val="0"/>
                <w:sz w:val="24"/>
              </w:rPr>
              <w:t>.关键操作追溯功能</w:t>
            </w:r>
          </w:p>
          <w:p w14:paraId="74608D0E">
            <w:pPr>
              <w:widowControl w:val="0"/>
              <w:numPr>
                <w:ilvl w:val="0"/>
                <w:numId w:val="0"/>
              </w:numPr>
              <w:spacing w:before="0" w:after="16" w:line="252" w:lineRule="auto"/>
              <w:ind w:firstLine="480"/>
              <w:jc w:val="left"/>
            </w:pPr>
            <w:r>
              <w:rPr>
                <w:rFonts w:ascii="宋体" w:hAnsi="宋体" w:eastAsia="宋体"/>
                <w:b w:val="0"/>
                <w:sz w:val="24"/>
              </w:rPr>
              <w:t>对患者档案、风险结果、运动处方、处方审核/修改、随访记录、接口数据导入及数据导出等关键操作，应能够记录操作时间、操作用户及必要的操作结果，并支持查询相关操作记录。</w:t>
            </w:r>
            <w:r>
              <w:rPr>
                <w:rFonts w:ascii="宋体" w:hAnsi="宋体" w:eastAsia="宋体" w:cs="宋体"/>
                <w:snapToGrid w:val="0"/>
                <w:color w:val="000000"/>
                <w:kern w:val="0"/>
                <w:sz w:val="24"/>
                <w:szCs w:val="24"/>
                <w:lang w:val="en-US" w:eastAsia="zh-CN" w:bidi="ar"/>
              </w:rPr>
              <w:t>审计日志保存时间≥</w:t>
            </w:r>
            <w:r>
              <w:rPr>
                <w:rFonts w:hint="eastAsia" w:ascii="宋体" w:hAnsi="宋体" w:eastAsia="宋体" w:cs="宋体"/>
                <w:snapToGrid w:val="0"/>
                <w:color w:val="000000"/>
                <w:kern w:val="0"/>
                <w:sz w:val="24"/>
                <w:szCs w:val="24"/>
                <w:lang w:val="en-US" w:eastAsia="zh-CN" w:bidi="ar"/>
              </w:rPr>
              <w:t>3年</w:t>
            </w:r>
            <w:r>
              <w:rPr>
                <w:rFonts w:ascii="宋体" w:hAnsi="宋体" w:eastAsia="宋体" w:cs="宋体"/>
                <w:snapToGrid w:val="0"/>
                <w:color w:val="000000"/>
                <w:kern w:val="0"/>
                <w:sz w:val="24"/>
                <w:szCs w:val="24"/>
                <w:lang w:val="en-US" w:eastAsia="zh-CN" w:bidi="ar"/>
              </w:rPr>
              <w:t>，日志禁止篡改、删除。</w:t>
            </w:r>
          </w:p>
          <w:p w14:paraId="7A193375">
            <w:pPr>
              <w:widowControl w:val="0"/>
              <w:numPr>
                <w:ilvl w:val="-1"/>
                <w:numId w:val="0"/>
              </w:numPr>
              <w:spacing w:before="0" w:after="16" w:line="252" w:lineRule="auto"/>
              <w:ind w:firstLine="480"/>
              <w:jc w:val="left"/>
              <w:rPr>
                <w:rFonts w:ascii="宋体" w:hAnsi="宋体" w:eastAsia="宋体"/>
                <w:b w:val="0"/>
                <w:sz w:val="24"/>
              </w:rPr>
            </w:pPr>
            <w:r>
              <w:rPr>
                <w:rFonts w:hint="eastAsia" w:ascii="宋体" w:hAnsi="宋体" w:eastAsia="宋体"/>
                <w:b w:val="0"/>
                <w:sz w:val="24"/>
                <w:lang w:val="en-US" w:eastAsia="zh-CN"/>
              </w:rPr>
              <w:t>41.</w:t>
            </w:r>
            <w:r>
              <w:rPr>
                <w:rFonts w:ascii="宋体" w:hAnsi="宋体" w:eastAsia="宋体"/>
                <w:b w:val="0"/>
                <w:sz w:val="24"/>
              </w:rPr>
              <w:t>数据备份与恢复功能</w:t>
            </w:r>
          </w:p>
          <w:p w14:paraId="1AE4C093">
            <w:pPr>
              <w:keepNext w:val="0"/>
              <w:keepLines w:val="0"/>
              <w:widowControl w:val="0"/>
              <w:numPr>
                <w:ilvl w:val="0"/>
                <w:numId w:val="0"/>
              </w:numPr>
              <w:suppressLineNumbers w:val="0"/>
              <w:spacing w:after="16" w:line="252" w:lineRule="auto"/>
              <w:ind w:firstLine="480"/>
              <w:jc w:val="left"/>
              <w:rPr>
                <w:rFonts w:ascii="宋体" w:hAnsi="宋体" w:eastAsia="宋体"/>
                <w:b w:val="0"/>
                <w:sz w:val="24"/>
              </w:rPr>
            </w:pPr>
            <w:r>
              <w:rPr>
                <w:rFonts w:ascii="宋体" w:hAnsi="宋体" w:eastAsia="宋体"/>
                <w:b w:val="0"/>
                <w:sz w:val="24"/>
              </w:rPr>
              <w:t>应支持业务数据备份和恢复，历史档案、测试结果、运动处方、训练记录及随访数据应能够长期连续保存。系统发生故障或数据异常后，应能够利用备份恢复业务数据，避免历史记录因处方修改或后续测试而被覆盖。</w:t>
            </w:r>
            <w:r>
              <w:rPr>
                <w:rFonts w:ascii="宋体" w:hAnsi="宋体" w:eastAsia="宋体" w:cs="宋体"/>
                <w:snapToGrid w:val="0"/>
                <w:color w:val="000000"/>
                <w:kern w:val="0"/>
                <w:sz w:val="24"/>
                <w:szCs w:val="24"/>
                <w:lang w:val="en-US" w:eastAsia="zh-CN" w:bidi="ar"/>
              </w:rPr>
              <w:t>支持全量+增量备份；故障恢复指标RTO≤4小时，RPO≤30分钟。</w:t>
            </w:r>
          </w:p>
          <w:p w14:paraId="411AFD04">
            <w:pPr>
              <w:keepNext w:val="0"/>
              <w:keepLines w:val="0"/>
              <w:widowControl w:val="0"/>
              <w:numPr>
                <w:ilvl w:val="-1"/>
                <w:numId w:val="0"/>
              </w:numPr>
              <w:suppressLineNumbers w:val="0"/>
              <w:spacing w:after="16" w:line="252" w:lineRule="auto"/>
              <w:ind w:firstLine="482"/>
              <w:jc w:val="left"/>
              <w:rPr>
                <w:rStyle w:val="8"/>
                <w:rFonts w:ascii="宋体" w:hAnsi="宋体" w:eastAsia="宋体" w:cs="宋体"/>
                <w:snapToGrid w:val="0"/>
                <w:color w:val="000000"/>
                <w:kern w:val="0"/>
                <w:sz w:val="24"/>
                <w:szCs w:val="24"/>
                <w:lang w:val="en-US" w:eastAsia="zh-CN" w:bidi="ar"/>
              </w:rPr>
            </w:pPr>
            <w:r>
              <w:rPr>
                <w:rStyle w:val="8"/>
                <w:rFonts w:hint="eastAsia" w:ascii="宋体" w:hAnsi="宋体" w:eastAsia="宋体" w:cs="宋体"/>
                <w:snapToGrid w:val="0"/>
                <w:color w:val="000000"/>
                <w:kern w:val="0"/>
                <w:sz w:val="24"/>
                <w:szCs w:val="24"/>
                <w:lang w:val="en-US" w:eastAsia="zh-CN" w:bidi="ar"/>
              </w:rPr>
              <w:t>42.</w:t>
            </w:r>
            <w:r>
              <w:rPr>
                <w:rStyle w:val="8"/>
                <w:rFonts w:ascii="宋体" w:hAnsi="宋体" w:eastAsia="宋体" w:cs="宋体"/>
                <w:snapToGrid w:val="0"/>
                <w:color w:val="000000"/>
                <w:kern w:val="0"/>
                <w:sz w:val="24"/>
                <w:szCs w:val="24"/>
                <w:lang w:val="en-US" w:eastAsia="zh-CN" w:bidi="ar"/>
              </w:rPr>
              <w:t>系统性能指标</w:t>
            </w:r>
          </w:p>
          <w:p w14:paraId="68CA581D">
            <w:pPr>
              <w:keepNext w:val="0"/>
              <w:keepLines w:val="0"/>
              <w:widowControl w:val="0"/>
              <w:numPr>
                <w:ilvl w:val="0"/>
                <w:numId w:val="0"/>
              </w:numPr>
              <w:suppressLineNumbers w:val="0"/>
              <w:spacing w:after="16" w:line="252" w:lineRule="auto"/>
              <w:ind w:firstLine="480"/>
              <w:jc w:val="left"/>
              <w:rPr>
                <w:rFonts w:ascii="宋体" w:hAnsi="宋体" w:eastAsia="宋体" w:cs="宋体"/>
                <w:snapToGrid w:val="0"/>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医护业务端支持不少于30用户并发在线访问；移动端支持不少于200用户同时访问；普通列表、档案查询页面响应时间≤3秒；综合报告生成时间≤10秒； 系统支持至少20000份受试者档案存储；网络中断条件下，支持医护端本地临时录入，网络恢复后自动同步服务端。</w:t>
            </w:r>
          </w:p>
          <w:p w14:paraId="0E7CF612">
            <w:pPr>
              <w:keepNext w:val="0"/>
              <w:keepLines w:val="0"/>
              <w:widowControl w:val="0"/>
              <w:numPr>
                <w:ilvl w:val="-1"/>
                <w:numId w:val="0"/>
              </w:numPr>
              <w:suppressLineNumbers w:val="0"/>
              <w:spacing w:after="16" w:line="252" w:lineRule="auto"/>
              <w:ind w:firstLine="482"/>
              <w:jc w:val="left"/>
              <w:rPr>
                <w:rStyle w:val="8"/>
                <w:rFonts w:ascii="宋体" w:hAnsi="宋体" w:eastAsia="宋体" w:cs="宋体"/>
                <w:snapToGrid w:val="0"/>
                <w:color w:val="000000"/>
                <w:kern w:val="0"/>
                <w:sz w:val="24"/>
                <w:szCs w:val="24"/>
                <w:lang w:val="en-US" w:eastAsia="zh-CN" w:bidi="ar"/>
              </w:rPr>
            </w:pPr>
            <w:r>
              <w:rPr>
                <w:rStyle w:val="8"/>
                <w:rFonts w:hint="eastAsia" w:ascii="宋体" w:hAnsi="宋体" w:eastAsia="宋体" w:cs="宋体"/>
                <w:snapToGrid w:val="0"/>
                <w:color w:val="000000"/>
                <w:kern w:val="0"/>
                <w:sz w:val="24"/>
                <w:szCs w:val="24"/>
                <w:lang w:val="en-US" w:eastAsia="zh-CN" w:bidi="ar"/>
              </w:rPr>
              <w:t>43.</w:t>
            </w:r>
            <w:r>
              <w:rPr>
                <w:rStyle w:val="8"/>
                <w:rFonts w:ascii="宋体" w:hAnsi="宋体" w:eastAsia="宋体" w:cs="宋体"/>
                <w:snapToGrid w:val="0"/>
                <w:color w:val="000000"/>
                <w:kern w:val="0"/>
                <w:sz w:val="24"/>
                <w:szCs w:val="24"/>
                <w:lang w:val="en-US" w:eastAsia="zh-CN" w:bidi="ar"/>
              </w:rPr>
              <w:t>兼容性要求</w:t>
            </w:r>
          </w:p>
          <w:p w14:paraId="6DAADB8E">
            <w:pPr>
              <w:widowControl w:val="0"/>
              <w:numPr>
                <w:ilvl w:val="0"/>
                <w:numId w:val="0"/>
              </w:numPr>
              <w:spacing w:before="0" w:after="16" w:line="252" w:lineRule="auto"/>
              <w:ind w:firstLine="480"/>
              <w:jc w:val="left"/>
              <w:rPr>
                <w:rFonts w:hint="default" w:ascii="宋体" w:hAnsi="宋体" w:eastAsia="宋体"/>
                <w:b w:val="0"/>
                <w:sz w:val="24"/>
                <w:lang w:val="en-US" w:eastAsia="zh-CN"/>
              </w:rPr>
            </w:pPr>
            <w:r>
              <w:rPr>
                <w:rFonts w:ascii="宋体" w:hAnsi="宋体" w:eastAsia="宋体" w:cs="宋体"/>
                <w:snapToGrid w:val="0"/>
                <w:color w:val="000000"/>
                <w:kern w:val="0"/>
                <w:sz w:val="24"/>
                <w:szCs w:val="24"/>
                <w:lang w:val="en-US" w:eastAsia="zh-CN" w:bidi="ar"/>
              </w:rPr>
              <w:t>医护业务端兼容主流浏览器、国产浏览器；支持国产服务器操作系统、国产数据库；终端支持复用医院现有PC，投标人提供完整最低软硬件运行环境说明。</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8163A15"/>
    <w:rsid w:val="08217F5E"/>
    <w:rsid w:val="0A630A62"/>
    <w:rsid w:val="0DA41AC3"/>
    <w:rsid w:val="0F716AF4"/>
    <w:rsid w:val="10053D44"/>
    <w:rsid w:val="103E1F42"/>
    <w:rsid w:val="103F1284"/>
    <w:rsid w:val="11AF4A11"/>
    <w:rsid w:val="12466893"/>
    <w:rsid w:val="152143B8"/>
    <w:rsid w:val="176B4BCE"/>
    <w:rsid w:val="184C3F44"/>
    <w:rsid w:val="1DC47BEB"/>
    <w:rsid w:val="1E6F3A27"/>
    <w:rsid w:val="1E7228D5"/>
    <w:rsid w:val="212339B6"/>
    <w:rsid w:val="226E4F8A"/>
    <w:rsid w:val="22777105"/>
    <w:rsid w:val="2814104E"/>
    <w:rsid w:val="2B88197A"/>
    <w:rsid w:val="2C24507B"/>
    <w:rsid w:val="2C2A2417"/>
    <w:rsid w:val="2D825FDC"/>
    <w:rsid w:val="300E21C9"/>
    <w:rsid w:val="30A77963"/>
    <w:rsid w:val="315471D8"/>
    <w:rsid w:val="31B43718"/>
    <w:rsid w:val="354E552E"/>
    <w:rsid w:val="355A28E3"/>
    <w:rsid w:val="35A619AF"/>
    <w:rsid w:val="35B83D3D"/>
    <w:rsid w:val="362E4123"/>
    <w:rsid w:val="3AB33AFD"/>
    <w:rsid w:val="3BA734D9"/>
    <w:rsid w:val="41B533F7"/>
    <w:rsid w:val="44303FF3"/>
    <w:rsid w:val="48AA5EB9"/>
    <w:rsid w:val="4BB927CA"/>
    <w:rsid w:val="4E360C07"/>
    <w:rsid w:val="4FB41155"/>
    <w:rsid w:val="5333119C"/>
    <w:rsid w:val="541D768B"/>
    <w:rsid w:val="56F86FFF"/>
    <w:rsid w:val="5A2055FA"/>
    <w:rsid w:val="5AD20FEA"/>
    <w:rsid w:val="5B9A03D2"/>
    <w:rsid w:val="5BF925A6"/>
    <w:rsid w:val="5C62764F"/>
    <w:rsid w:val="5CD47907"/>
    <w:rsid w:val="633F4960"/>
    <w:rsid w:val="65E37FAB"/>
    <w:rsid w:val="66BD052A"/>
    <w:rsid w:val="68320208"/>
    <w:rsid w:val="68583E1D"/>
    <w:rsid w:val="690A31E2"/>
    <w:rsid w:val="6E3F3B60"/>
    <w:rsid w:val="6FD24A19"/>
    <w:rsid w:val="74736F2F"/>
    <w:rsid w:val="75457920"/>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10"/>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10">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7477</Words>
  <Characters>7640</Characters>
  <Lines>0</Lines>
  <Paragraphs>0</Paragraphs>
  <TotalTime>225</TotalTime>
  <ScaleCrop>false</ScaleCrop>
  <LinksUpToDate>false</LinksUpToDate>
  <CharactersWithSpaces>7683</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7CDF3AB931EC4CA7A26B59D2F91810C0_13</vt:lpwstr>
  </property>
  <property fmtid="{D5CDD505-2E9C-101B-9397-08002B2CF9AE}" pid="4" name="KSOTemplateDocerSaveRecord">
    <vt:lpwstr>eyJoZGlkIjoiMjZjZjZjMDE4ZjE0ZTgzOTJmYWM5ZDlhYmQ0OTg1Y2MiLCJ1c2VySWQiOiIxNTQ4MTUzNzkzIn0=</vt:lpwstr>
  </property>
</Properties>
</file>