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7276BB">
      <w:pPr>
        <w:ind w:left="0" w:leftChars="0" w:firstLine="0" w:firstLineChars="0"/>
        <w:jc w:val="center"/>
        <w:rPr>
          <w:rFonts w:hint="eastAsia" w:ascii="华文中宋" w:hAnsi="华文中宋" w:eastAsia="华文中宋" w:cs="华文中宋"/>
          <w:b w:val="0"/>
          <w:bCs w:val="0"/>
          <w:sz w:val="44"/>
          <w:szCs w:val="32"/>
          <w:lang w:val="en-US" w:eastAsia="zh-CN"/>
        </w:rPr>
      </w:pPr>
      <w:r>
        <w:rPr>
          <w:rFonts w:hint="eastAsia" w:ascii="华文中宋" w:hAnsi="华文中宋" w:eastAsia="华文中宋" w:cs="华文中宋"/>
          <w:b w:val="0"/>
          <w:bCs w:val="0"/>
          <w:sz w:val="44"/>
          <w:szCs w:val="32"/>
          <w:lang w:val="en-US" w:eastAsia="zh-CN"/>
        </w:rPr>
        <w:t>医疗设备需求参数表</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9"/>
        <w:gridCol w:w="2265"/>
        <w:gridCol w:w="1591"/>
        <w:gridCol w:w="3033"/>
      </w:tblGrid>
      <w:tr w14:paraId="6F436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1629" w:type="dxa"/>
          </w:tcPr>
          <w:p w14:paraId="0C8AE456">
            <w:pPr>
              <w:pStyle w:val="3"/>
              <w:widowControl w:val="0"/>
              <w:ind w:left="0" w:leftChars="0" w:firstLine="0" w:firstLineChars="0"/>
              <w:rPr>
                <w:rFonts w:hint="eastAsia"/>
                <w:vertAlign w:val="baseline"/>
                <w:lang w:val="en-US" w:eastAsia="zh-CN"/>
              </w:rPr>
            </w:pPr>
            <w:r>
              <w:rPr>
                <w:rFonts w:hint="eastAsia"/>
                <w:vertAlign w:val="baseline"/>
                <w:lang w:val="en-US" w:eastAsia="zh-CN"/>
              </w:rPr>
              <w:t>科      室</w:t>
            </w:r>
          </w:p>
        </w:tc>
        <w:tc>
          <w:tcPr>
            <w:tcW w:w="2265" w:type="dxa"/>
            <w:vAlign w:val="center"/>
          </w:tcPr>
          <w:p w14:paraId="64F29C60">
            <w:pPr>
              <w:widowControl w:val="0"/>
              <w:spacing w:before="0" w:after="0"/>
              <w:jc w:val="center"/>
            </w:pPr>
            <w:r>
              <w:rPr>
                <w:rFonts w:ascii="宋体" w:hAnsi="宋体" w:eastAsia="宋体"/>
                <w:b w:val="0"/>
                <w:sz w:val="26"/>
              </w:rPr>
              <w:t>科教科</w:t>
            </w:r>
          </w:p>
        </w:tc>
        <w:tc>
          <w:tcPr>
            <w:tcW w:w="1591" w:type="dxa"/>
          </w:tcPr>
          <w:p w14:paraId="6177A8B1">
            <w:pPr>
              <w:pStyle w:val="3"/>
              <w:widowControl w:val="0"/>
              <w:ind w:left="0" w:leftChars="0" w:firstLine="0" w:firstLineChars="0"/>
              <w:jc w:val="center"/>
              <w:rPr>
                <w:rFonts w:hint="eastAsia"/>
                <w:vertAlign w:val="baseline"/>
                <w:lang w:val="en-US" w:eastAsia="zh-CN"/>
              </w:rPr>
            </w:pPr>
            <w:r>
              <w:rPr>
                <w:rFonts w:hint="eastAsia"/>
                <w:vertAlign w:val="baseline"/>
                <w:lang w:val="en-US" w:eastAsia="zh-CN"/>
              </w:rPr>
              <w:t>设备名称</w:t>
            </w:r>
          </w:p>
        </w:tc>
        <w:tc>
          <w:tcPr>
            <w:tcW w:w="3033" w:type="dxa"/>
            <w:vAlign w:val="center"/>
          </w:tcPr>
          <w:p w14:paraId="736A888B">
            <w:pPr>
              <w:widowControl w:val="0"/>
              <w:spacing w:before="0" w:after="0"/>
              <w:jc w:val="center"/>
            </w:pPr>
            <w:r>
              <w:rPr>
                <w:rFonts w:ascii="宋体" w:hAnsi="宋体" w:eastAsia="宋体"/>
                <w:b w:val="0"/>
                <w:sz w:val="24"/>
              </w:rPr>
              <w:t>减重跑台训练系统</w:t>
            </w:r>
          </w:p>
        </w:tc>
      </w:tr>
      <w:tr w14:paraId="66CD9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629" w:type="dxa"/>
          </w:tcPr>
          <w:p w14:paraId="6EB781A5">
            <w:pPr>
              <w:pStyle w:val="3"/>
              <w:widowControl w:val="0"/>
              <w:ind w:left="0" w:leftChars="0" w:firstLine="0" w:firstLineChars="0"/>
              <w:rPr>
                <w:rFonts w:hint="eastAsia"/>
                <w:vertAlign w:val="baseline"/>
                <w:lang w:val="en-US" w:eastAsia="zh-CN"/>
              </w:rPr>
            </w:pPr>
            <w:r>
              <w:rPr>
                <w:rFonts w:hint="eastAsia"/>
                <w:vertAlign w:val="baseline"/>
                <w:lang w:val="en-US" w:eastAsia="zh-CN"/>
              </w:rPr>
              <w:t>拟采购数量</w:t>
            </w:r>
          </w:p>
        </w:tc>
        <w:tc>
          <w:tcPr>
            <w:tcW w:w="2265" w:type="dxa"/>
            <w:vAlign w:val="center"/>
          </w:tcPr>
          <w:p w14:paraId="5699D254">
            <w:pPr>
              <w:widowControl w:val="0"/>
              <w:spacing w:before="0" w:after="0"/>
              <w:jc w:val="left"/>
            </w:pPr>
            <w:r>
              <w:rPr>
                <w:rFonts w:ascii="宋体" w:hAnsi="宋体" w:eastAsia="宋体"/>
                <w:b w:val="0"/>
                <w:sz w:val="28"/>
              </w:rPr>
              <w:t>1</w:t>
            </w:r>
          </w:p>
        </w:tc>
        <w:tc>
          <w:tcPr>
            <w:tcW w:w="1591" w:type="dxa"/>
          </w:tcPr>
          <w:p w14:paraId="3514319B">
            <w:pPr>
              <w:pStyle w:val="3"/>
              <w:widowControl w:val="0"/>
              <w:ind w:left="0" w:leftChars="0" w:firstLine="0" w:firstLineChars="0"/>
              <w:jc w:val="center"/>
              <w:rPr>
                <w:rFonts w:hint="eastAsia"/>
                <w:vertAlign w:val="baseline"/>
                <w:lang w:val="en-US" w:eastAsia="zh-CN"/>
              </w:rPr>
            </w:pPr>
            <w:r>
              <w:rPr>
                <w:rFonts w:hint="eastAsia"/>
                <w:vertAlign w:val="baseline"/>
                <w:lang w:val="en-US" w:eastAsia="zh-CN"/>
              </w:rPr>
              <w:t>参数用途</w:t>
            </w:r>
          </w:p>
        </w:tc>
        <w:tc>
          <w:tcPr>
            <w:tcW w:w="3033" w:type="dxa"/>
            <w:vAlign w:val="center"/>
          </w:tcPr>
          <w:p w14:paraId="0EA51470">
            <w:pPr>
              <w:widowControl w:val="0"/>
              <w:spacing w:before="0" w:after="0"/>
              <w:jc w:val="left"/>
            </w:pPr>
            <w:r>
              <w:rPr>
                <w:rFonts w:ascii="宋体" w:hAnsi="宋体" w:eastAsia="宋体"/>
                <w:b w:val="0"/>
                <w:sz w:val="28"/>
              </w:rPr>
              <w:t>市场调研</w:t>
            </w:r>
          </w:p>
        </w:tc>
      </w:tr>
      <w:tr w14:paraId="73AB2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3" w:hRule="atLeast"/>
        </w:trPr>
        <w:tc>
          <w:tcPr>
            <w:tcW w:w="8518" w:type="dxa"/>
            <w:gridSpan w:val="4"/>
            <w:tcMar>
              <w:top w:w="100" w:type="dxa"/>
              <w:left w:w="120" w:type="dxa"/>
              <w:bottom w:w="100" w:type="dxa"/>
              <w:right w:w="120" w:type="dxa"/>
            </w:tcMar>
            <w:vAlign w:val="top"/>
          </w:tcPr>
          <w:p w14:paraId="5356C8A2">
            <w:pPr>
              <w:widowControl/>
              <w:spacing w:before="0" w:after="0" w:line="240" w:lineRule="auto"/>
              <w:jc w:val="left"/>
            </w:pPr>
            <w:r>
              <w:rPr>
                <w:rFonts w:ascii="宋体" w:hAnsi="宋体" w:eastAsia="宋体"/>
                <w:b/>
                <w:sz w:val="21"/>
              </w:rPr>
              <w:t>设备基础组成：</w:t>
            </w:r>
            <w:r>
              <w:rPr>
                <w:rFonts w:ascii="宋体" w:hAnsi="宋体" w:eastAsia="宋体"/>
                <w:b w:val="0"/>
                <w:sz w:val="21"/>
              </w:rPr>
              <w:t>系统应以气动减重跑台训练单元作为基础必配，并将水下减重跑台训练单元列为可选配置。气动单元应至少包括下肢正压/空气压差减重装置、密闭气舱及人体密封穿戴组件、训练跑台、体重测量或校准单元、减重与跑台控制单元</w:t>
            </w:r>
            <w:r>
              <w:rPr>
                <w:rFonts w:ascii="宋体" w:hAnsi="宋体" w:eastAsia="宋体" w:cs="Arial"/>
                <w:snapToGrid w:val="0"/>
                <w:color w:val="000000"/>
                <w:kern w:val="0"/>
                <w:sz w:val="21"/>
                <w:szCs w:val="21"/>
                <w:lang w:val="en-US" w:eastAsia="zh-CN" w:bidi="ar"/>
              </w:rPr>
              <w:t>（可为设备自带控制器或通用计算机，</w:t>
            </w:r>
            <w:r>
              <w:rPr>
                <w:rStyle w:val="7"/>
                <w:rFonts w:ascii="宋体" w:hAnsi="宋体" w:eastAsia="宋体" w:cs="Arial"/>
                <w:b w:val="0"/>
                <w:snapToGrid w:val="0"/>
                <w:color w:val="000000"/>
                <w:kern w:val="0"/>
                <w:sz w:val="21"/>
                <w:szCs w:val="21"/>
                <w:lang w:val="en-US" w:eastAsia="zh-CN" w:bidi="ar"/>
              </w:rPr>
              <w:t>不强制专用定制工控硬件</w:t>
            </w:r>
            <w:r>
              <w:rPr>
                <w:rFonts w:ascii="宋体" w:hAnsi="宋体" w:eastAsia="宋体" w:cs="Arial"/>
                <w:snapToGrid w:val="0"/>
                <w:color w:val="000000"/>
                <w:kern w:val="0"/>
                <w:sz w:val="21"/>
                <w:szCs w:val="21"/>
                <w:lang w:val="en-US" w:eastAsia="zh-CN" w:bidi="ar"/>
              </w:rPr>
              <w:t>）</w:t>
            </w:r>
            <w:r>
              <w:rPr>
                <w:rFonts w:ascii="宋体" w:hAnsi="宋体" w:eastAsia="宋体"/>
                <w:b w:val="0"/>
                <w:sz w:val="21"/>
              </w:rPr>
              <w:t>、基础步态信息采集与反馈组件、安全扶手、紧急停止及压力安全保护组件，以及必要的数据管理组件。水下单元如配置，应至少包括水下训练跑台及与其相适配的水疗舱/池体或既有水环境连接组件、水位或浸水深度调节/记录条件、训练控制、安全扶持及必要的水环境管理组件。水下单元可采用不同成熟实现方式，不限定特定池体结构。</w:t>
            </w:r>
          </w:p>
          <w:p w14:paraId="0E1EC620">
            <w:pPr>
              <w:widowControl w:val="0"/>
              <w:spacing w:before="0" w:after="16" w:line="252" w:lineRule="auto"/>
              <w:jc w:val="left"/>
            </w:pPr>
            <w:r>
              <w:rPr>
                <w:rFonts w:ascii="宋体" w:hAnsi="宋体" w:eastAsia="宋体"/>
                <w:b/>
                <w:sz w:val="21"/>
              </w:rPr>
              <w:t>1.气动减重步行与跑步训练功能</w:t>
            </w:r>
          </w:p>
          <w:p w14:paraId="5435758C">
            <w:pPr>
              <w:widowControl w:val="0"/>
              <w:spacing w:before="0" w:after="16" w:line="252" w:lineRule="auto"/>
              <w:jc w:val="left"/>
            </w:pPr>
            <w:r>
              <w:rPr>
                <w:rFonts w:ascii="宋体" w:hAnsi="宋体" w:eastAsia="宋体"/>
                <w:b w:val="0"/>
                <w:sz w:val="21"/>
              </w:rPr>
              <w:t>气动减重跑台训练单元应采用下肢正压/空气压差方式提供部分体重支持，使受试者在躯干和上肢保持相对自由的情况下完成站立、步行、慢跑和跑步训练。训练时应能够降低下肢及关节实际承受的机械负荷，满足下肢损伤、骨科术后、老年功能下降、超重肥胖及运动损伤等人群的分级减重和渐进恢复需要。</w:t>
            </w:r>
          </w:p>
          <w:p w14:paraId="4C0173B4">
            <w:pPr>
              <w:widowControl w:val="0"/>
              <w:spacing w:before="0" w:after="16" w:line="252" w:lineRule="auto"/>
              <w:jc w:val="left"/>
            </w:pPr>
            <w:r>
              <w:rPr>
                <w:rFonts w:ascii="宋体" w:hAnsi="宋体" w:eastAsia="宋体"/>
                <w:b/>
                <w:sz w:val="21"/>
              </w:rPr>
              <w:t>2.气动定量减载与体重校准功能</w:t>
            </w:r>
          </w:p>
          <w:p w14:paraId="33D649A7">
            <w:pPr>
              <w:widowControl w:val="0"/>
              <w:spacing w:before="0" w:after="16" w:line="252" w:lineRule="auto"/>
              <w:jc w:val="left"/>
            </w:pPr>
            <w:r>
              <w:rPr>
                <w:rFonts w:ascii="宋体" w:hAnsi="宋体" w:eastAsia="宋体"/>
                <w:b w:val="0"/>
                <w:sz w:val="21"/>
              </w:rPr>
              <w:t>气动单元应能够在训练前完成受试者体重测量或校准，并以该结果建立当次训练承重基准；应能够按照受试者自身实际体重比例进行定量减载，承重范围应覆盖约20%～100%体重，并支持细步进调节，系统应明确显示当前实际承重比例或减重比例。</w:t>
            </w:r>
          </w:p>
          <w:p w14:paraId="2F119FF2">
            <w:pPr>
              <w:widowControl w:val="0"/>
              <w:spacing w:before="0" w:after="16" w:line="252" w:lineRule="auto"/>
              <w:jc w:val="left"/>
            </w:pPr>
            <w:r>
              <w:rPr>
                <w:rFonts w:ascii="宋体" w:hAnsi="宋体" w:eastAsia="宋体"/>
                <w:b/>
                <w:sz w:val="21"/>
              </w:rPr>
              <w:t>3.气动动态减载与渐进承重功能</w:t>
            </w:r>
          </w:p>
          <w:p w14:paraId="08D27CE2">
            <w:pPr>
              <w:widowControl w:val="0"/>
              <w:spacing w:before="0" w:after="16" w:line="252" w:lineRule="auto"/>
              <w:jc w:val="left"/>
            </w:pPr>
            <w:r>
              <w:rPr>
                <w:rFonts w:ascii="宋体" w:hAnsi="宋体" w:eastAsia="宋体"/>
                <w:b w:val="0"/>
                <w:sz w:val="21"/>
              </w:rPr>
              <w:t>训练过程中应能够根据受试者疼痛、步态表现、耐受程度及康复阶段实时调整实际承重比例，无需结束整次训练后重新开始。应支持由较高减重水平逐步过渡至较低减重水平，直至恢复正常承重，以满足不同阶段的渐进负荷训练。</w:t>
            </w:r>
          </w:p>
          <w:p w14:paraId="3947DE62">
            <w:pPr>
              <w:widowControl w:val="0"/>
              <w:spacing w:before="0" w:after="16" w:line="252" w:lineRule="auto"/>
              <w:jc w:val="left"/>
            </w:pPr>
            <w:r>
              <w:rPr>
                <w:rFonts w:ascii="宋体" w:hAnsi="宋体" w:eastAsia="宋体"/>
                <w:b/>
                <w:sz w:val="21"/>
              </w:rPr>
              <w:t>4.气动速度、方向、坡度及运动负荷调节功能</w:t>
            </w:r>
          </w:p>
          <w:p w14:paraId="463B8496">
            <w:pPr>
              <w:widowControl w:val="0"/>
              <w:spacing w:before="0" w:after="16" w:line="252" w:lineRule="auto"/>
              <w:jc w:val="left"/>
            </w:pPr>
            <w:r>
              <w:rPr>
                <w:rFonts w:ascii="宋体" w:hAnsi="宋体" w:eastAsia="宋体"/>
                <w:b w:val="0"/>
                <w:sz w:val="21"/>
              </w:rPr>
              <w:t>气动单元应同时满足低速步行、较高速度步行、慢跑和跑步训练需要，速度能够连续或分级调节；应支持正向训练，并具备反向步行功能。应支持跑台坡度调节，并可结合承重比例、速度、坡度和训练时间共同调整运动负荷。</w:t>
            </w:r>
          </w:p>
          <w:p w14:paraId="4FE0DDCA">
            <w:pPr>
              <w:widowControl w:val="0"/>
              <w:spacing w:before="0" w:after="16" w:line="252" w:lineRule="auto"/>
              <w:jc w:val="left"/>
            </w:pPr>
            <w:r>
              <w:rPr>
                <w:rFonts w:ascii="宋体" w:hAnsi="宋体" w:eastAsia="宋体"/>
                <w:b/>
                <w:sz w:val="21"/>
              </w:rPr>
              <w:t>5.气动训练处方与过程监测功能</w:t>
            </w:r>
          </w:p>
          <w:p w14:paraId="70412BFF">
            <w:pPr>
              <w:widowControl w:val="0"/>
              <w:spacing w:before="0" w:after="16" w:line="252" w:lineRule="auto"/>
              <w:jc w:val="left"/>
            </w:pPr>
            <w:r>
              <w:rPr>
                <w:rFonts w:ascii="宋体" w:hAnsi="宋体" w:eastAsia="宋体"/>
                <w:b w:val="0"/>
                <w:sz w:val="21"/>
              </w:rPr>
              <w:t>应能够根据临床康复或科研方案设置并记录承重/减重比例、运动速度、坡度、训练时间和运动方向等核心条件；训练过程中应允许治疗师根据受试者状态进行调整。系统应实时显示或持续记录当前承重/减重水平、速度、坡度、训练时间和训练距离等主要训练信息。</w:t>
            </w:r>
          </w:p>
          <w:p w14:paraId="6D85C769">
            <w:pPr>
              <w:widowControl w:val="0"/>
              <w:spacing w:before="0" w:after="16" w:line="252" w:lineRule="auto"/>
              <w:jc w:val="left"/>
            </w:pPr>
            <w:r>
              <w:rPr>
                <w:rFonts w:ascii="宋体" w:hAnsi="宋体" w:eastAsia="宋体"/>
                <w:b/>
                <w:sz w:val="21"/>
              </w:rPr>
              <w:t>6.气动基础步态量化与实时反馈功能</w:t>
            </w:r>
          </w:p>
          <w:p w14:paraId="6B04FDE8">
            <w:pPr>
              <w:widowControl w:val="0"/>
              <w:spacing w:before="0" w:after="16" w:line="252" w:lineRule="auto"/>
              <w:jc w:val="left"/>
            </w:pPr>
            <w:r>
              <w:rPr>
                <w:rFonts w:ascii="宋体" w:hAnsi="宋体" w:eastAsia="宋体"/>
                <w:b w:val="0"/>
                <w:sz w:val="21"/>
              </w:rPr>
              <w:t>气动单元应能够在减重步行训练过程中采集基础步态信息，至少能够获得步频、左/右侧步长或步幅，以及能够反映左右差异或步态对称性的基础指标。训练过程中应能够通过数值、图形、视频或其他直观方式提供步态或训练状态反馈，用于观察不同承重水平下的步态变化。</w:t>
            </w:r>
          </w:p>
          <w:p w14:paraId="4F5B98C6">
            <w:pPr>
              <w:widowControl w:val="0"/>
              <w:spacing w:before="0" w:after="16" w:line="252" w:lineRule="auto"/>
              <w:jc w:val="left"/>
            </w:pPr>
            <w:r>
              <w:rPr>
                <w:rFonts w:ascii="宋体" w:hAnsi="宋体" w:eastAsia="宋体"/>
                <w:b/>
                <w:sz w:val="21"/>
              </w:rPr>
              <w:t>7.气动训练安全保护功能</w:t>
            </w:r>
          </w:p>
          <w:p w14:paraId="07A29B77">
            <w:pPr>
              <w:widowControl w:val="0"/>
              <w:spacing w:before="0" w:after="16" w:line="252" w:lineRule="auto"/>
              <w:jc w:val="left"/>
            </w:pPr>
            <w:r>
              <w:rPr>
                <w:rFonts w:ascii="宋体" w:hAnsi="宋体" w:eastAsia="宋体"/>
                <w:b w:val="0"/>
                <w:sz w:val="21"/>
              </w:rPr>
              <w:t>应具备安全扶手、紧急停止及压力相关安全保护。训练过程中出现疼痛、疲劳、失衡或其他异常情况时，应能够及时暂停或终止跑台运行；训练结束或紧急停止后，应能够安全维持或解除减重支持，并使受试者恢复至可安全离开设备的状态。</w:t>
            </w:r>
          </w:p>
          <w:p w14:paraId="40A0A33D">
            <w:pPr>
              <w:widowControl w:val="0"/>
              <w:spacing w:before="0" w:after="16" w:line="252" w:lineRule="auto"/>
              <w:jc w:val="left"/>
            </w:pPr>
            <w:r>
              <w:rPr>
                <w:rFonts w:ascii="宋体" w:hAnsi="宋体" w:eastAsia="宋体"/>
                <w:b w:val="0"/>
                <w:sz w:val="21"/>
              </w:rPr>
              <w:t>8.水环境浮力支持步行与跑步功能（可选配置）</w:t>
            </w:r>
          </w:p>
          <w:p w14:paraId="4A8941E6">
            <w:pPr>
              <w:widowControl w:val="0"/>
              <w:spacing w:before="0" w:after="16" w:line="252" w:lineRule="auto"/>
              <w:jc w:val="left"/>
            </w:pPr>
            <w:r>
              <w:rPr>
                <w:rFonts w:ascii="宋体" w:hAnsi="宋体" w:eastAsia="宋体"/>
                <w:b w:val="0"/>
                <w:sz w:val="21"/>
              </w:rPr>
              <w:t>水下减重跑台训练单元如配置，应能够利用水的浮力降低下肢及关节机械负荷，在适宜浸水条件下开展站立、步行、慢跑、步态再训练和低冲击有氧训练。水环境还可利用水阻力开展下肢功能和体能训练，并为低冲击步态及平衡协调训练提供条件，但不要求以固定体重百分比表示水下减重程度。</w:t>
            </w:r>
          </w:p>
          <w:p w14:paraId="02D85EE4">
            <w:pPr>
              <w:widowControl w:val="0"/>
              <w:spacing w:before="0" w:after="16" w:line="252" w:lineRule="auto"/>
              <w:jc w:val="left"/>
            </w:pPr>
            <w:r>
              <w:rPr>
                <w:rFonts w:ascii="宋体" w:hAnsi="宋体" w:eastAsia="宋体"/>
                <w:b w:val="0"/>
                <w:sz w:val="21"/>
              </w:rPr>
              <w:t>9.水位/浸水深度与跑台速度调节功能（可选配置）</w:t>
            </w:r>
          </w:p>
          <w:p w14:paraId="1C9D4624">
            <w:pPr>
              <w:widowControl w:val="0"/>
              <w:spacing w:before="0" w:after="16" w:line="252" w:lineRule="auto"/>
              <w:jc w:val="left"/>
            </w:pPr>
            <w:r>
              <w:rPr>
                <w:rFonts w:ascii="宋体" w:hAnsi="宋体" w:eastAsia="宋体"/>
                <w:b w:val="0"/>
                <w:sz w:val="21"/>
              </w:rPr>
              <w:t>水下单元如配置，应能够根据受试者身高、功能状态和训练目标调节或选择适宜的水位/浸水深度，并能够记录相应训练条件；水下跑台速度应能够调节，满足低速步行至较高强度步行/跑步训练的常用康复需求。坡度、水流阻力等功能可根据产品成熟配置提供，不作为统一硬性结构要求。</w:t>
            </w:r>
          </w:p>
          <w:p w14:paraId="3C83815A">
            <w:pPr>
              <w:widowControl w:val="0"/>
              <w:spacing w:before="0" w:after="16" w:line="252" w:lineRule="auto"/>
              <w:jc w:val="left"/>
            </w:pPr>
            <w:r>
              <w:rPr>
                <w:rFonts w:ascii="宋体" w:hAnsi="宋体" w:eastAsia="宋体"/>
                <w:b w:val="0"/>
                <w:sz w:val="21"/>
              </w:rPr>
              <w:t>10.水下步态观察与训练反馈功能（可选配置）</w:t>
            </w:r>
          </w:p>
          <w:p w14:paraId="651A5757">
            <w:pPr>
              <w:widowControl w:val="0"/>
              <w:spacing w:before="0" w:after="16" w:line="252" w:lineRule="auto"/>
              <w:jc w:val="left"/>
            </w:pPr>
            <w:r>
              <w:rPr>
                <w:rFonts w:ascii="宋体" w:hAnsi="宋体" w:eastAsia="宋体"/>
                <w:b w:val="0"/>
                <w:sz w:val="21"/>
              </w:rPr>
              <w:t>水下单元如配置，应具备便于治疗师观察受试者水下步态和下肢动作的条件，可通过透明观察面、视频监测或其他等效方式实现；应能够记录训练速度、时间、水位/浸水深度等主要条件，便于治疗师根据动作表现和耐受程度调整训练。</w:t>
            </w:r>
          </w:p>
          <w:p w14:paraId="7E5583BB">
            <w:pPr>
              <w:widowControl w:val="0"/>
              <w:spacing w:before="0" w:after="16" w:line="252" w:lineRule="auto"/>
              <w:jc w:val="left"/>
            </w:pPr>
            <w:r>
              <w:rPr>
                <w:rFonts w:ascii="宋体" w:hAnsi="宋体" w:eastAsia="宋体"/>
                <w:b w:val="0"/>
                <w:sz w:val="21"/>
              </w:rPr>
              <w:t>11.水温及水环境卫生管理功能（可选配置）</w:t>
            </w:r>
          </w:p>
          <w:p w14:paraId="4269369F">
            <w:pPr>
              <w:widowControl w:val="0"/>
              <w:spacing w:before="0" w:after="16" w:line="252" w:lineRule="auto"/>
              <w:jc w:val="left"/>
            </w:pPr>
            <w:r>
              <w:rPr>
                <w:rFonts w:ascii="宋体" w:hAnsi="宋体" w:eastAsia="宋体"/>
                <w:b w:val="0"/>
                <w:sz w:val="21"/>
              </w:rPr>
              <w:t>水下单元如配置，应满足日常康复训练所需的水环境安全和卫生管理要求。对于自带独立水体的设备，应具备或配套水温管理、水循环、过滤和消毒等常用功能；如与符合要求的既有水疗池配套使用，可利用现有水处理设施，不重复限定同类功能。</w:t>
            </w:r>
          </w:p>
          <w:p w14:paraId="13246C46">
            <w:pPr>
              <w:widowControl w:val="0"/>
              <w:spacing w:before="0" w:after="16" w:line="252" w:lineRule="auto"/>
              <w:jc w:val="left"/>
            </w:pPr>
            <w:r>
              <w:rPr>
                <w:rFonts w:ascii="宋体" w:hAnsi="宋体" w:eastAsia="宋体"/>
                <w:b w:val="0"/>
                <w:sz w:val="21"/>
              </w:rPr>
              <w:t>12.水下训练安全与人员进出功能（可选配置）</w:t>
            </w:r>
          </w:p>
          <w:p w14:paraId="4B1DFD43">
            <w:pPr>
              <w:widowControl w:val="0"/>
              <w:spacing w:before="0" w:after="16" w:line="252" w:lineRule="auto"/>
              <w:jc w:val="left"/>
            </w:pPr>
            <w:r>
              <w:rPr>
                <w:rFonts w:ascii="宋体" w:hAnsi="宋体" w:eastAsia="宋体"/>
                <w:b w:val="0"/>
                <w:sz w:val="21"/>
              </w:rPr>
              <w:t>水下单元如配置，应具备适合康复训练的扶手或其他安全扶持装置、紧急停止、防滑及与水环境相适应的电气安全措施，并提供与目标人群相适应的安全进入和退出条件；必要时可配套辅助进出装置，但不限定具体机械结构。</w:t>
            </w:r>
          </w:p>
          <w:p w14:paraId="415B9690">
            <w:pPr>
              <w:widowControl w:val="0"/>
              <w:spacing w:before="0" w:after="16" w:line="252" w:lineRule="auto"/>
              <w:jc w:val="left"/>
            </w:pPr>
            <w:r>
              <w:rPr>
                <w:rFonts w:ascii="宋体" w:hAnsi="宋体" w:eastAsia="宋体"/>
                <w:b/>
                <w:sz w:val="21"/>
              </w:rPr>
              <w:t>13.训练方案保存与标准化复测功能</w:t>
            </w:r>
          </w:p>
          <w:p w14:paraId="29B2436F">
            <w:pPr>
              <w:widowControl w:val="0"/>
              <w:spacing w:before="0" w:after="16" w:line="252" w:lineRule="auto"/>
              <w:jc w:val="left"/>
            </w:pPr>
            <w:r>
              <w:rPr>
                <w:rFonts w:ascii="宋体" w:hAnsi="宋体" w:eastAsia="宋体"/>
                <w:b w:val="0"/>
                <w:sz w:val="21"/>
              </w:rPr>
              <w:t>系统应能够保存或完整记录历次训练的核心条件。气动训练应至少记录承重/减重比例、速度、坡度、时间及运动方向；水下训练如配置，应至少记录水位/浸水深度、速度和训练时间，并可记录水温等设备能够提供的环境条件。后续复评或科研随访时，应能够按照相同或预定递进条件开展重复训练。</w:t>
            </w:r>
          </w:p>
          <w:p w14:paraId="65570383">
            <w:pPr>
              <w:widowControl w:val="0"/>
              <w:spacing w:before="0" w:after="16" w:line="252" w:lineRule="auto"/>
              <w:jc w:val="left"/>
            </w:pPr>
            <w:r>
              <w:rPr>
                <w:rFonts w:ascii="宋体" w:hAnsi="宋体" w:eastAsia="宋体"/>
                <w:b/>
                <w:sz w:val="21"/>
              </w:rPr>
              <w:t>14.训练记录、结果报告及纵向比较功能</w:t>
            </w:r>
          </w:p>
          <w:p w14:paraId="550DF3A8">
            <w:pPr>
              <w:widowControl w:val="0"/>
              <w:spacing w:before="0" w:after="16" w:line="252" w:lineRule="auto"/>
              <w:jc w:val="left"/>
            </w:pPr>
            <w:r>
              <w:rPr>
                <w:rFonts w:ascii="宋体" w:hAnsi="宋体" w:eastAsia="宋体"/>
                <w:b w:val="0"/>
                <w:sz w:val="21"/>
              </w:rPr>
              <w:t>每次训练结束后，应能够形成并保存训练记录或电子报告，至少包括受试者识别信息或编号、训练日期、采用的训练单元、训练时间、速度及相应核心负荷条件。对同一受试者不同时间点或不同减重条件下的训练结果，应能够查询和比较，用于评价功能恢复及训练进展。</w:t>
            </w:r>
          </w:p>
          <w:p w14:paraId="57D65D34">
            <w:pPr>
              <w:widowControl w:val="0"/>
              <w:spacing w:before="0" w:after="16" w:line="252" w:lineRule="auto"/>
              <w:jc w:val="left"/>
            </w:pPr>
            <w:r>
              <w:rPr>
                <w:rFonts w:ascii="宋体" w:hAnsi="宋体" w:eastAsia="宋体"/>
                <w:b/>
                <w:sz w:val="21"/>
              </w:rPr>
              <w:t>15.科研数据保存与导出功能</w:t>
            </w:r>
          </w:p>
          <w:p w14:paraId="0DAEEF64">
            <w:pPr>
              <w:widowControl w:val="0"/>
              <w:spacing w:before="0" w:after="16" w:line="252" w:lineRule="auto"/>
              <w:jc w:val="left"/>
            </w:pPr>
            <w:r>
              <w:rPr>
                <w:rFonts w:ascii="宋体" w:hAnsi="宋体" w:eastAsia="宋体"/>
                <w:b w:val="0"/>
                <w:sz w:val="21"/>
              </w:rPr>
              <w:t>应支持将核心训练条件、训练记录及气动单元获得的基础步态量化结果以电子形式保存和导出，用于疗效随访和科研数据整理。科研使用时可根据配置情况开展气动减重和/或水环境训练研究，并将承重比例、水位/浸水深度、速度、坡度（如适用）、训练时间等作为可追溯的干预变量。核心量化结果不得仅在设备屏幕上临时显示而无法保存或导出，不强制要求开放底层传感器逐采样点原始信号。</w:t>
            </w:r>
          </w:p>
        </w:tc>
      </w:tr>
    </w:tbl>
    <w:p w14:paraId="1DE004CF">
      <w:pPr>
        <w:pStyle w:val="3"/>
        <w:ind w:left="0" w:leftChars="0" w:firstLine="0" w:firstLineChars="0"/>
        <w:rPr>
          <w:rFonts w:hint="eastAsia"/>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altName w:val="黑体"/>
    <w:panose1 w:val="02010601030101010101"/>
    <w:charset w:val="86"/>
    <w:family w:val="auto"/>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560"/>
      </w:pPr>
      <w:r>
        <w:separator/>
      </w:r>
    </w:p>
  </w:footnote>
  <w:footnote w:type="continuationSeparator" w:id="1">
    <w:p>
      <w:pPr>
        <w:spacing w:line="240" w:lineRule="auto"/>
        <w:ind w:firstLine="56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1392AFC"/>
    <w:rsid w:val="01EA0BE5"/>
    <w:rsid w:val="02227DC5"/>
    <w:rsid w:val="02F6215F"/>
    <w:rsid w:val="03D56A80"/>
    <w:rsid w:val="08163A15"/>
    <w:rsid w:val="0A630A62"/>
    <w:rsid w:val="0DA41AC3"/>
    <w:rsid w:val="0F716AF4"/>
    <w:rsid w:val="10053D44"/>
    <w:rsid w:val="103E1F42"/>
    <w:rsid w:val="103F1284"/>
    <w:rsid w:val="11AF4A11"/>
    <w:rsid w:val="12466893"/>
    <w:rsid w:val="152143B8"/>
    <w:rsid w:val="176B4BCE"/>
    <w:rsid w:val="184C3F44"/>
    <w:rsid w:val="1E6F3A27"/>
    <w:rsid w:val="1E7228D5"/>
    <w:rsid w:val="212339B6"/>
    <w:rsid w:val="226E4F8A"/>
    <w:rsid w:val="22777105"/>
    <w:rsid w:val="258A21D1"/>
    <w:rsid w:val="2814104E"/>
    <w:rsid w:val="2B88197A"/>
    <w:rsid w:val="2C24507B"/>
    <w:rsid w:val="2C2A2417"/>
    <w:rsid w:val="300E21C9"/>
    <w:rsid w:val="30A77963"/>
    <w:rsid w:val="31B43718"/>
    <w:rsid w:val="354E552E"/>
    <w:rsid w:val="355A28E3"/>
    <w:rsid w:val="35A619AF"/>
    <w:rsid w:val="35B83D3D"/>
    <w:rsid w:val="362E4123"/>
    <w:rsid w:val="3AB33AFD"/>
    <w:rsid w:val="41B533F7"/>
    <w:rsid w:val="44303FF3"/>
    <w:rsid w:val="48AA5EB9"/>
    <w:rsid w:val="4BB927CA"/>
    <w:rsid w:val="4BC661C6"/>
    <w:rsid w:val="4E360C07"/>
    <w:rsid w:val="5333119C"/>
    <w:rsid w:val="541D768B"/>
    <w:rsid w:val="56F86FFF"/>
    <w:rsid w:val="5A2055FA"/>
    <w:rsid w:val="5AD20FEA"/>
    <w:rsid w:val="5B9A03D2"/>
    <w:rsid w:val="5BF925A6"/>
    <w:rsid w:val="5CD47907"/>
    <w:rsid w:val="633F4960"/>
    <w:rsid w:val="65E37FAB"/>
    <w:rsid w:val="68320208"/>
    <w:rsid w:val="68583E1D"/>
    <w:rsid w:val="690A31E2"/>
    <w:rsid w:val="6FD24A19"/>
    <w:rsid w:val="74736F2F"/>
    <w:rsid w:val="75457920"/>
    <w:rsid w:val="759D7DC1"/>
    <w:rsid w:val="7AAC17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99"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autoSpaceDE w:val="0"/>
      <w:autoSpaceDN w:val="0"/>
      <w:adjustRightInd w:val="0"/>
      <w:snapToGrid w:val="0"/>
      <w:spacing w:line="570" w:lineRule="exact"/>
      <w:ind w:firstLine="420" w:firstLineChars="200"/>
      <w:jc w:val="both"/>
      <w:textAlignment w:val="baseline"/>
    </w:pPr>
    <w:rPr>
      <w:rFonts w:ascii="Arial" w:hAnsi="Arial" w:eastAsia="仿宋_GB2312" w:cs="Arial"/>
      <w:snapToGrid w:val="0"/>
      <w:color w:val="000000"/>
      <w:kern w:val="0"/>
      <w:sz w:val="28"/>
      <w:szCs w:val="21"/>
    </w:rPr>
  </w:style>
  <w:style w:type="paragraph" w:styleId="2">
    <w:name w:val="heading 1"/>
    <w:basedOn w:val="1"/>
    <w:next w:val="1"/>
    <w:link w:val="10"/>
    <w:qFormat/>
    <w:uiPriority w:val="0"/>
    <w:pPr>
      <w:keepNext/>
      <w:keepLines/>
      <w:spacing w:before="300" w:after="300" w:line="590" w:lineRule="exact"/>
      <w:ind w:firstLine="0" w:firstLineChars="0"/>
      <w:jc w:val="center"/>
      <w:outlineLvl w:val="0"/>
    </w:pPr>
    <w:rPr>
      <w:rFonts w:ascii="Calibri" w:hAnsi="Calibri" w:eastAsia="方正小标宋简体" w:cs="Times New Roman"/>
      <w:bCs/>
      <w:kern w:val="44"/>
      <w:sz w:val="44"/>
      <w:szCs w:val="44"/>
    </w:rPr>
  </w:style>
  <w:style w:type="character" w:default="1" w:styleId="7">
    <w:name w:val="Default Paragraph Font"/>
    <w:semiHidden/>
    <w:qFormat/>
    <w:uiPriority w:val="99"/>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spacing w:after="120" w:afterLines="0" w:afterAutospacing="0"/>
    </w:pPr>
  </w:style>
  <w:style w:type="paragraph" w:styleId="4">
    <w:name w:val="Normal (Web)"/>
    <w:basedOn w:val="1"/>
    <w:qFormat/>
    <w:uiPriority w:val="99"/>
    <w:pPr>
      <w:widowControl/>
      <w:spacing w:before="100" w:beforeAutospacing="1" w:after="100" w:afterAutospacing="1"/>
      <w:jc w:val="left"/>
    </w:pPr>
    <w:rPr>
      <w:kern w:val="0"/>
      <w:sz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 w:type="paragraph" w:customStyle="1" w:styleId="9">
    <w:name w:val="Default"/>
    <w:basedOn w:val="1"/>
    <w:qFormat/>
    <w:uiPriority w:val="0"/>
    <w:pPr>
      <w:autoSpaceDE w:val="0"/>
      <w:autoSpaceDN w:val="0"/>
      <w:adjustRightInd w:val="0"/>
      <w:jc w:val="left"/>
    </w:pPr>
    <w:rPr>
      <w:rFonts w:ascii="宋体" w:cs="宋体"/>
      <w:color w:val="000000"/>
      <w:kern w:val="0"/>
      <w:sz w:val="24"/>
      <w:szCs w:val="24"/>
    </w:rPr>
  </w:style>
  <w:style w:type="character" w:customStyle="1" w:styleId="10">
    <w:name w:val="Heading 1 Char1"/>
    <w:basedOn w:val="7"/>
    <w:link w:val="2"/>
    <w:qFormat/>
    <w:locked/>
    <w:uiPriority w:val="99"/>
    <w:rPr>
      <w:rFonts w:ascii="Calibri" w:hAnsi="Calibri" w:eastAsia="方正小标宋简体" w:cs="Times New Roman"/>
      <w:bCs/>
      <w:kern w:val="44"/>
      <w:sz w:val="44"/>
      <w:szCs w:val="4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2364</Words>
  <Characters>2390</Characters>
  <Lines>0</Lines>
  <Paragraphs>0</Paragraphs>
  <TotalTime>66</TotalTime>
  <ScaleCrop>false</ScaleCrop>
  <LinksUpToDate>false</LinksUpToDate>
  <CharactersWithSpaces>2432</CharactersWithSpaces>
  <Application>WPS Office_12.8.2.18606_F1E327BC-269C-435d-A152-05C5408002CA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2022-10-28T06:17:00Z</dcterms:created>
  <dc:creator>Administrator</dc:creator>
  <cp:lastModifiedBy>李丹（采购科）</cp:lastModifiedBy>
  <dcterms:modified xsi:type="dcterms:W3CDTF">2026-09-23T04:20:32Z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2052-12.8.2.18606</vt:lpwstr>
  </property>
  <property fmtid="{D5CDD505-2E9C-101B-9397-08002B2CF9AE}" pid="3" name="ICV">
    <vt:lpwstr>C732065568334DC5911941D0C5A77A4C_13</vt:lpwstr>
  </property>
  <property fmtid="{D5CDD505-2E9C-101B-9397-08002B2CF9AE}" pid="4" name="KSOTemplateDocerSaveRecord">
    <vt:lpwstr>eyJoZGlkIjoiZGY5Nzk4ODM1ZTI1ZjQ5NWE4OWI3NTFmNTRiMWIzOTEiLCJ1c2VySWQiOiIxODI1MTk5MjAzIn0=</vt:lpwstr>
  </property>
</Properties>
</file>