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6BB">
      <w:pPr>
        <w:ind w:left="0" w:leftChars="0" w:firstLine="0" w:firstLineChars="0"/>
        <w:jc w:val="center"/>
        <w:rPr>
          <w:rFonts w:hint="eastAsia" w:ascii="华文中宋" w:hAnsi="华文中宋" w:eastAsia="华文中宋" w:cs="华文中宋"/>
          <w:b w:val="0"/>
          <w:bCs w:val="0"/>
          <w:sz w:val="44"/>
          <w:szCs w:val="32"/>
          <w:lang w:val="en-US" w:eastAsia="zh-CN"/>
        </w:rPr>
      </w:pPr>
      <w:r>
        <w:rPr>
          <w:rFonts w:hint="eastAsia" w:ascii="华文中宋" w:hAnsi="华文中宋" w:eastAsia="华文中宋" w:cs="华文中宋"/>
          <w:b w:val="0"/>
          <w:bCs w:val="0"/>
          <w:sz w:val="44"/>
          <w:szCs w:val="32"/>
          <w:lang w:val="en-US" w:eastAsia="zh-CN"/>
        </w:rPr>
        <w:t>医疗设备需求参数表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2265"/>
        <w:gridCol w:w="1591"/>
        <w:gridCol w:w="3033"/>
      </w:tblGrid>
      <w:tr w14:paraId="6F4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5" w:hRule="atLeast"/>
        </w:trPr>
        <w:tc>
          <w:tcPr>
            <w:tcW w:w="1629" w:type="dxa"/>
          </w:tcPr>
          <w:p w14:paraId="0C8AE456">
            <w:pPr>
              <w:pStyle w:val="3"/>
              <w:widowControl w:val="0"/>
              <w:ind w:left="0" w:leftChars="0" w:firstLine="0" w:firstLineChars="0"/>
              <w:rPr>
                <w:rFonts w:hint="eastAsia"/>
                <w:vertAlign w:val="baseline"/>
                <w:lang w:val="en-US" w:eastAsia="zh-CN"/>
              </w:rPr>
            </w:pPr>
            <w:r>
              <w:rPr>
                <w:rFonts w:hint="eastAsia"/>
                <w:vertAlign w:val="baseline"/>
                <w:lang w:val="en-US" w:eastAsia="zh-CN"/>
              </w:rPr>
              <w:t>科      室</w:t>
            </w:r>
          </w:p>
        </w:tc>
        <w:tc>
          <w:tcPr>
            <w:tcW w:w="2265" w:type="dxa"/>
            <w:vAlign w:val="center"/>
          </w:tcPr>
          <w:p w14:paraId="08621938">
            <w:pPr>
              <w:widowControl w:val="0"/>
              <w:spacing w:before="0" w:after="0"/>
              <w:jc w:val="center"/>
            </w:pPr>
            <w:r>
              <w:rPr>
                <w:rFonts w:ascii="宋体" w:hAnsi="宋体" w:eastAsia="宋体"/>
                <w:b w:val="0"/>
                <w:sz w:val="26"/>
              </w:rPr>
              <w:t>科教科</w:t>
            </w:r>
          </w:p>
        </w:tc>
        <w:tc>
          <w:tcPr>
            <w:tcW w:w="1591" w:type="dxa"/>
          </w:tcPr>
          <w:p w14:paraId="6177A8B1">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设备名称</w:t>
            </w:r>
          </w:p>
        </w:tc>
        <w:tc>
          <w:tcPr>
            <w:tcW w:w="3033" w:type="dxa"/>
            <w:vAlign w:val="center"/>
          </w:tcPr>
          <w:p w14:paraId="65C3A2C2">
            <w:pPr>
              <w:widowControl w:val="0"/>
              <w:spacing w:before="0" w:after="0"/>
              <w:jc w:val="both"/>
            </w:pPr>
            <w:r>
              <w:rPr>
                <w:rFonts w:ascii="宋体" w:hAnsi="宋体" w:eastAsia="宋体"/>
                <w:b w:val="0"/>
                <w:sz w:val="24"/>
              </w:rPr>
              <w:t>全身振动训练系统</w:t>
            </w:r>
          </w:p>
        </w:tc>
      </w:tr>
      <w:tr w14:paraId="66C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629" w:type="dxa"/>
          </w:tcPr>
          <w:p w14:paraId="6EB781A5">
            <w:pPr>
              <w:pStyle w:val="3"/>
              <w:widowControl w:val="0"/>
              <w:ind w:left="0" w:leftChars="0" w:firstLine="0" w:firstLineChars="0"/>
              <w:rPr>
                <w:rFonts w:hint="eastAsia"/>
                <w:vertAlign w:val="baseline"/>
                <w:lang w:val="en-US" w:eastAsia="zh-CN"/>
              </w:rPr>
            </w:pPr>
            <w:r>
              <w:rPr>
                <w:rFonts w:hint="eastAsia"/>
                <w:vertAlign w:val="baseline"/>
                <w:lang w:val="en-US" w:eastAsia="zh-CN"/>
              </w:rPr>
              <w:t>拟采购数量</w:t>
            </w:r>
          </w:p>
        </w:tc>
        <w:tc>
          <w:tcPr>
            <w:tcW w:w="2265" w:type="dxa"/>
            <w:vAlign w:val="center"/>
          </w:tcPr>
          <w:p w14:paraId="29552D82">
            <w:pPr>
              <w:widowControl w:val="0"/>
              <w:spacing w:before="0" w:after="0"/>
              <w:jc w:val="left"/>
            </w:pPr>
            <w:r>
              <w:rPr>
                <w:rFonts w:ascii="宋体" w:hAnsi="宋体" w:eastAsia="宋体"/>
                <w:b w:val="0"/>
                <w:sz w:val="28"/>
              </w:rPr>
              <w:t>1</w:t>
            </w:r>
          </w:p>
        </w:tc>
        <w:tc>
          <w:tcPr>
            <w:tcW w:w="1591" w:type="dxa"/>
          </w:tcPr>
          <w:p w14:paraId="3514319B">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参数用途</w:t>
            </w:r>
          </w:p>
        </w:tc>
        <w:tc>
          <w:tcPr>
            <w:tcW w:w="3033" w:type="dxa"/>
            <w:vAlign w:val="center"/>
          </w:tcPr>
          <w:p w14:paraId="491CA55C">
            <w:pPr>
              <w:widowControl w:val="0"/>
              <w:spacing w:before="0" w:after="0"/>
              <w:jc w:val="left"/>
            </w:pPr>
            <w:r>
              <w:rPr>
                <w:rFonts w:ascii="宋体" w:hAnsi="宋体" w:eastAsia="宋体"/>
                <w:b w:val="0"/>
                <w:sz w:val="28"/>
              </w:rPr>
              <w:t>市场调研</w:t>
            </w:r>
          </w:p>
        </w:tc>
      </w:tr>
      <w:tr w14:paraId="73A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518" w:type="dxa"/>
            <w:gridSpan w:val="4"/>
            <w:tcMar>
              <w:top w:w="100" w:type="dxa"/>
              <w:left w:w="120" w:type="dxa"/>
              <w:bottom w:w="100" w:type="dxa"/>
              <w:right w:w="120" w:type="dxa"/>
            </w:tcMar>
            <w:vAlign w:val="top"/>
          </w:tcPr>
          <w:p w14:paraId="701A351D">
            <w:pPr>
              <w:widowControl/>
              <w:spacing w:before="0" w:after="0" w:line="240" w:lineRule="auto"/>
              <w:jc w:val="left"/>
            </w:pPr>
            <w:r>
              <w:rPr>
                <w:rFonts w:ascii="宋体" w:hAnsi="宋体" w:eastAsia="宋体"/>
                <w:b/>
                <w:sz w:val="21"/>
              </w:rPr>
              <w:t>设备基础组成：</w:t>
            </w:r>
            <w:r>
              <w:rPr>
                <w:rFonts w:ascii="宋体" w:hAnsi="宋体" w:eastAsia="宋体"/>
                <w:b w:val="0"/>
                <w:sz w:val="21"/>
              </w:rPr>
              <w:t>应至少包括全身振动训练平台（含机械振动发生及驱动单元）、稳定扶手或等效安全支撑组件、设备操作控制面板/控制终端</w:t>
            </w:r>
            <w:r>
              <w:rPr>
                <w:rFonts w:ascii="宋体" w:hAnsi="宋体" w:eastAsia="宋体" w:cs="Arial"/>
                <w:snapToGrid w:val="0"/>
                <w:color w:val="000000"/>
                <w:kern w:val="0"/>
                <w:sz w:val="21"/>
                <w:szCs w:val="21"/>
                <w:lang w:val="en-US" w:eastAsia="zh-CN" w:bidi="ar"/>
              </w:rPr>
              <w:t>（可为普通操作终端或通用计算机，不强制专用定制工控硬件）</w:t>
            </w:r>
            <w:r>
              <w:rPr>
                <w:rFonts w:ascii="宋体" w:hAnsi="宋体" w:eastAsia="宋体"/>
                <w:b w:val="0"/>
                <w:sz w:val="21"/>
              </w:rPr>
              <w:t>、安全启停及紧急停止组件、必要的训练站位/支撑附件，以及用于振动频率、振动幅度或强度、训练时间和训练模式设置与显示的配套控制系统。整套设备应以受试者直立负重状态下的全身振动训练为主要应用形式。</w:t>
            </w:r>
          </w:p>
          <w:p w14:paraId="38A1B913">
            <w:pPr>
              <w:widowControl w:val="0"/>
              <w:spacing w:before="0" w:after="16" w:line="252" w:lineRule="auto"/>
              <w:jc w:val="left"/>
            </w:pPr>
            <w:r>
              <w:rPr>
                <w:rFonts w:ascii="宋体" w:hAnsi="宋体" w:eastAsia="宋体"/>
                <w:b/>
                <w:sz w:val="21"/>
              </w:rPr>
              <w:t>1.全身振动训练功能</w:t>
            </w:r>
          </w:p>
          <w:p w14:paraId="795EF151">
            <w:pPr>
              <w:widowControl w:val="0"/>
              <w:spacing w:before="0" w:after="16" w:line="252" w:lineRule="auto"/>
              <w:jc w:val="left"/>
            </w:pPr>
            <w:r>
              <w:rPr>
                <w:rFonts w:ascii="宋体" w:hAnsi="宋体" w:eastAsia="宋体"/>
                <w:b w:val="0"/>
                <w:sz w:val="21"/>
              </w:rPr>
              <w:t>应能够在受试者站立于振动平台的条件下实施全身振动训练，通过机械振动刺激参与下肢、躯干及核心稳定相关肌群的训练。系统应以直立负重状态下的全身振动训练为主要应用形式，不以卧位或坐位条件下的局部下肢振动代替全身振动训练功能。</w:t>
            </w:r>
          </w:p>
          <w:p w14:paraId="389E825E">
            <w:pPr>
              <w:widowControl w:val="0"/>
              <w:spacing w:before="0" w:after="16" w:line="252" w:lineRule="auto"/>
              <w:jc w:val="left"/>
            </w:pPr>
            <w:r>
              <w:rPr>
                <w:rFonts w:ascii="宋体" w:hAnsi="宋体" w:eastAsia="宋体"/>
                <w:b/>
                <w:sz w:val="21"/>
              </w:rPr>
              <w:t>2.振动训练剂量调节功能</w:t>
            </w:r>
          </w:p>
          <w:p w14:paraId="26E0DDAF">
            <w:pPr>
              <w:widowControl w:val="0"/>
              <w:spacing w:before="0" w:after="16" w:line="252" w:lineRule="auto"/>
              <w:jc w:val="left"/>
            </w:pPr>
            <w:r>
              <w:rPr>
                <w:rFonts w:ascii="宋体" w:hAnsi="宋体" w:eastAsia="宋体"/>
                <w:b w:val="0"/>
                <w:sz w:val="21"/>
              </w:rPr>
              <w:t>应支持对振动训练的核心剂量参数进行独立或组合设置，至少包括：（1）振动频率；（2）振动幅度或与振幅相对应的振动强度；（3）单次振动持续时间。</w:t>
            </w:r>
          </w:p>
          <w:p w14:paraId="10478478">
            <w:pPr>
              <w:widowControl w:val="0"/>
              <w:spacing w:before="0" w:after="16" w:line="252" w:lineRule="auto"/>
              <w:jc w:val="left"/>
            </w:pPr>
            <w:r>
              <w:rPr>
                <w:rFonts w:ascii="宋体" w:hAnsi="宋体" w:eastAsia="宋体"/>
                <w:b w:val="0"/>
                <w:sz w:val="21"/>
              </w:rPr>
              <w:t>上述参数应具有多个可调水平，并能够明确显示当前设定值或强度等级，以满足不同功能状态及不同训练阶段的剂量调整需要。</w:t>
            </w:r>
          </w:p>
          <w:p w14:paraId="25041D7A">
            <w:pPr>
              <w:widowControl w:val="0"/>
              <w:spacing w:before="0" w:after="16" w:line="252" w:lineRule="auto"/>
              <w:jc w:val="left"/>
            </w:pPr>
            <w:r>
              <w:rPr>
                <w:rFonts w:ascii="宋体" w:hAnsi="宋体" w:eastAsia="宋体"/>
                <w:b/>
                <w:sz w:val="21"/>
              </w:rPr>
              <w:t>3.手动训练与预设训练模式</w:t>
            </w:r>
          </w:p>
          <w:p w14:paraId="324BEFFA">
            <w:pPr>
              <w:widowControl w:val="0"/>
              <w:spacing w:before="0" w:after="16" w:line="252" w:lineRule="auto"/>
              <w:jc w:val="left"/>
            </w:pPr>
            <w:r>
              <w:rPr>
                <w:rFonts w:ascii="宋体" w:hAnsi="宋体" w:eastAsia="宋体"/>
                <w:b w:val="0"/>
                <w:sz w:val="21"/>
              </w:rPr>
              <w:t>应同时支持手动参数设置和预设训练模式。手动模式下可根据训练方案调整振动频率、振动幅度/强度及训练时间；预设模式应能够按照既定参数组合完成振动训练，便于实施标准化、重复性的训练方案。</w:t>
            </w:r>
          </w:p>
          <w:p w14:paraId="36322D3D">
            <w:pPr>
              <w:widowControl w:val="0"/>
              <w:spacing w:before="0" w:after="16" w:line="252" w:lineRule="auto"/>
              <w:jc w:val="left"/>
            </w:pPr>
            <w:r>
              <w:rPr>
                <w:rFonts w:ascii="宋体" w:hAnsi="宋体" w:eastAsia="宋体"/>
                <w:b/>
                <w:sz w:val="21"/>
              </w:rPr>
              <w:t>4.多体位全身振动训练功能</w:t>
            </w:r>
          </w:p>
          <w:p w14:paraId="6EFEE84A">
            <w:pPr>
              <w:widowControl w:val="0"/>
              <w:spacing w:before="0" w:after="16" w:line="252" w:lineRule="auto"/>
              <w:jc w:val="left"/>
            </w:pPr>
            <w:r>
              <w:rPr>
                <w:rFonts w:ascii="宋体" w:hAnsi="宋体" w:eastAsia="宋体"/>
                <w:b w:val="0"/>
                <w:sz w:val="21"/>
              </w:rPr>
              <w:t>应支持受试者在振动平台上采用不同身体姿势进行训练，至少能够开展：（1）自然站立；（2）半蹲或下蹲；（3）弓步或前后分腿站立；（4）提踵；（5）上肢支撑。</w:t>
            </w:r>
          </w:p>
          <w:p w14:paraId="1AD7975A">
            <w:pPr>
              <w:widowControl w:val="0"/>
              <w:spacing w:before="0" w:after="16" w:line="252" w:lineRule="auto"/>
              <w:jc w:val="left"/>
            </w:pPr>
            <w:r>
              <w:rPr>
                <w:rFonts w:ascii="宋体" w:hAnsi="宋体" w:eastAsia="宋体"/>
                <w:b/>
                <w:sz w:val="21"/>
              </w:rPr>
              <w:t>5.静态姿势振动训练功能</w:t>
            </w:r>
          </w:p>
          <w:p w14:paraId="605A4137">
            <w:pPr>
              <w:widowControl w:val="0"/>
              <w:spacing w:before="0" w:after="16" w:line="252" w:lineRule="auto"/>
              <w:jc w:val="left"/>
            </w:pPr>
            <w:r>
              <w:rPr>
                <w:rFonts w:ascii="宋体" w:hAnsi="宋体" w:eastAsia="宋体"/>
                <w:b w:val="0"/>
                <w:sz w:val="21"/>
              </w:rPr>
              <w:t>应支持在保持特定身体姿势的条件下进行振动训练，包括自然站立、半蹲、深浅不同程度的屈膝站立、分腿站立或提踵等姿势，以开展下肢及核心相关肌群的持续激活和姿势控制训练。</w:t>
            </w:r>
          </w:p>
          <w:p w14:paraId="4C2BA448">
            <w:pPr>
              <w:widowControl w:val="0"/>
              <w:spacing w:before="0" w:after="16" w:line="252" w:lineRule="auto"/>
              <w:jc w:val="left"/>
            </w:pPr>
            <w:r>
              <w:rPr>
                <w:rFonts w:ascii="宋体" w:hAnsi="宋体" w:eastAsia="宋体"/>
                <w:b/>
                <w:sz w:val="21"/>
              </w:rPr>
              <w:t>6.动态动作结合振动训练功能</w:t>
            </w:r>
          </w:p>
          <w:p w14:paraId="55A569EF">
            <w:pPr>
              <w:widowControl w:val="0"/>
              <w:spacing w:before="0" w:after="16" w:line="252" w:lineRule="auto"/>
              <w:jc w:val="left"/>
            </w:pPr>
            <w:r>
              <w:rPr>
                <w:rFonts w:ascii="宋体" w:hAnsi="宋体" w:eastAsia="宋体"/>
                <w:b w:val="0"/>
                <w:sz w:val="21"/>
              </w:rPr>
              <w:t>应支持在振动输出过程中结合主动运动开展训练，包括反复下蹲、起立、提踵、重心转移或弓步类动作中的多种常见运动形式，使振动训练能够与主动抗重力运动相结合，而不局限于被动站立接受振动。</w:t>
            </w:r>
          </w:p>
          <w:p w14:paraId="56E9DC52">
            <w:pPr>
              <w:widowControl w:val="0"/>
              <w:spacing w:before="0" w:after="16" w:line="252" w:lineRule="auto"/>
              <w:jc w:val="left"/>
            </w:pPr>
            <w:r>
              <w:rPr>
                <w:rFonts w:ascii="宋体" w:hAnsi="宋体" w:eastAsia="宋体"/>
                <w:b/>
                <w:sz w:val="21"/>
              </w:rPr>
              <w:t>7.肌力及肌耐力训练功能</w:t>
            </w:r>
          </w:p>
          <w:p w14:paraId="340D97D3">
            <w:pPr>
              <w:widowControl w:val="0"/>
              <w:spacing w:before="0" w:after="16" w:line="252" w:lineRule="auto"/>
              <w:jc w:val="left"/>
            </w:pPr>
            <w:r>
              <w:rPr>
                <w:rFonts w:ascii="宋体" w:hAnsi="宋体" w:eastAsia="宋体"/>
                <w:b w:val="0"/>
                <w:sz w:val="21"/>
              </w:rPr>
              <w:t>应能够通过不同振动剂量及训练体位开展下肢和核心肌群的力量训练，并支持通过调整频率、振动幅度/强度、训练时间、训练体位及主动运动方式形成不同训练负荷。应支持多组重复训练，用于开展肌力和肌耐力相关训练。</w:t>
            </w:r>
          </w:p>
          <w:p w14:paraId="2B733F27">
            <w:pPr>
              <w:widowControl w:val="0"/>
              <w:spacing w:before="0" w:after="16" w:line="252" w:lineRule="auto"/>
              <w:jc w:val="left"/>
            </w:pPr>
            <w:r>
              <w:rPr>
                <w:rFonts w:ascii="宋体" w:hAnsi="宋体" w:eastAsia="宋体"/>
                <w:b/>
                <w:sz w:val="21"/>
              </w:rPr>
              <w:t>8.平衡与姿势控制训练功能</w:t>
            </w:r>
          </w:p>
          <w:p w14:paraId="5C025597">
            <w:pPr>
              <w:widowControl w:val="0"/>
              <w:spacing w:before="0" w:after="16" w:line="252" w:lineRule="auto"/>
              <w:jc w:val="left"/>
            </w:pPr>
            <w:r>
              <w:rPr>
                <w:rFonts w:ascii="宋体" w:hAnsi="宋体" w:eastAsia="宋体"/>
                <w:b w:val="0"/>
                <w:sz w:val="21"/>
              </w:rPr>
              <w:t>应支持在振动条件下开展双足站立、不同站距、半蹲、前后分腿站立及重心转移相关训练，用于平衡、姿势稳定及神经肌肉协调训练。不强制限定采用左右交替、垂直或其他某一种振动机械形式，只要能够完成相应全身振动和平衡训练功能。</w:t>
            </w:r>
          </w:p>
          <w:p w14:paraId="424B9575">
            <w:pPr>
              <w:widowControl w:val="0"/>
              <w:spacing w:before="0" w:after="16" w:line="252" w:lineRule="auto"/>
              <w:jc w:val="left"/>
            </w:pPr>
            <w:r>
              <w:rPr>
                <w:rFonts w:ascii="宋体" w:hAnsi="宋体" w:eastAsia="宋体"/>
                <w:b/>
                <w:sz w:val="21"/>
              </w:rPr>
              <w:t>9.本体感觉与神经肌肉协调训练功能</w:t>
            </w:r>
          </w:p>
          <w:p w14:paraId="35B7291D">
            <w:pPr>
              <w:widowControl w:val="0"/>
              <w:spacing w:before="0" w:after="16" w:line="252" w:lineRule="auto"/>
              <w:jc w:val="left"/>
            </w:pPr>
            <w:r>
              <w:rPr>
                <w:rFonts w:ascii="宋体" w:hAnsi="宋体" w:eastAsia="宋体"/>
                <w:b w:val="0"/>
                <w:sz w:val="21"/>
              </w:rPr>
              <w:t>应能够通过可调振动刺激结合不同站立姿势及主动动作开展本体感觉和神经肌肉协调训练，并能够通过改变振动剂量或训练姿势形成不同难度的训练方案。</w:t>
            </w:r>
          </w:p>
          <w:p w14:paraId="1744F052">
            <w:pPr>
              <w:widowControl w:val="0"/>
              <w:spacing w:before="0" w:after="16" w:line="252" w:lineRule="auto"/>
              <w:jc w:val="left"/>
            </w:pPr>
            <w:r>
              <w:rPr>
                <w:rFonts w:ascii="宋体" w:hAnsi="宋体" w:eastAsia="宋体"/>
                <w:b/>
                <w:sz w:val="21"/>
              </w:rPr>
              <w:t>10.渐进式训练功能</w:t>
            </w:r>
          </w:p>
          <w:p w14:paraId="02B955E1">
            <w:pPr>
              <w:widowControl w:val="0"/>
              <w:spacing w:before="0" w:after="16" w:line="252" w:lineRule="auto"/>
              <w:jc w:val="left"/>
            </w:pPr>
            <w:r>
              <w:rPr>
                <w:rFonts w:ascii="宋体" w:hAnsi="宋体" w:eastAsia="宋体"/>
                <w:b w:val="0"/>
                <w:sz w:val="21"/>
              </w:rPr>
              <w:t>应支持根据训练阶段逐步调整振动刺激和运动任务。训练强度可通过振动频率、振动幅度/强度、单次持续时间、训练组数及身体姿势中的一种或多种因素进行渐进调整，满足由低刺激、低难度向较高刺激或较高运动难度递进的训练需要。</w:t>
            </w:r>
          </w:p>
          <w:p w14:paraId="18F6BF13">
            <w:pPr>
              <w:widowControl w:val="0"/>
              <w:spacing w:before="0" w:after="16" w:line="252" w:lineRule="auto"/>
              <w:jc w:val="left"/>
            </w:pPr>
            <w:r>
              <w:rPr>
                <w:rFonts w:ascii="宋体" w:hAnsi="宋体" w:eastAsia="宋体"/>
                <w:b/>
                <w:sz w:val="21"/>
              </w:rPr>
              <w:t>11.训练时间与过程控制功能</w:t>
            </w:r>
          </w:p>
          <w:p w14:paraId="7ACAB4F5">
            <w:pPr>
              <w:widowControl w:val="0"/>
              <w:spacing w:before="0" w:after="16" w:line="252" w:lineRule="auto"/>
              <w:jc w:val="left"/>
            </w:pPr>
            <w:r>
              <w:rPr>
                <w:rFonts w:ascii="宋体" w:hAnsi="宋体" w:eastAsia="宋体"/>
                <w:b w:val="0"/>
                <w:sz w:val="21"/>
              </w:rPr>
              <w:t>应支持训练时间设置及倒计时或累计计时，并能够明确显示当前训练状态。达到设定训练时间后应能够自动结束本次振动输出。训练过程中应支持正常启动、暂停或停止当前训练。</w:t>
            </w:r>
          </w:p>
          <w:p w14:paraId="07331D88">
            <w:pPr>
              <w:widowControl w:val="0"/>
              <w:spacing w:before="0" w:after="16" w:line="252" w:lineRule="auto"/>
              <w:jc w:val="left"/>
            </w:pPr>
            <w:r>
              <w:rPr>
                <w:rFonts w:ascii="宋体" w:hAnsi="宋体" w:eastAsia="宋体"/>
                <w:b/>
                <w:sz w:val="21"/>
              </w:rPr>
              <w:t>12.训练参数实时显示功能</w:t>
            </w:r>
          </w:p>
          <w:p w14:paraId="6FC8578D">
            <w:pPr>
              <w:widowControl w:val="0"/>
              <w:spacing w:before="0" w:after="16" w:line="252" w:lineRule="auto"/>
              <w:jc w:val="left"/>
            </w:pPr>
            <w:r>
              <w:rPr>
                <w:rFonts w:ascii="宋体" w:hAnsi="宋体" w:eastAsia="宋体"/>
                <w:b w:val="0"/>
                <w:sz w:val="21"/>
              </w:rPr>
              <w:t>训练过程中应能够显示当前核心训练参数，至少包括振动频率、振动幅度/强度等级及训练时间，使实际执行的振动剂量能够被明确读取和记录。</w:t>
            </w:r>
          </w:p>
          <w:p w14:paraId="4348DDC8">
            <w:pPr>
              <w:widowControl w:val="0"/>
              <w:spacing w:before="0" w:after="16" w:line="252" w:lineRule="auto"/>
              <w:jc w:val="left"/>
            </w:pPr>
            <w:r>
              <w:rPr>
                <w:rFonts w:ascii="宋体" w:hAnsi="宋体" w:eastAsia="宋体"/>
                <w:b/>
                <w:sz w:val="21"/>
              </w:rPr>
              <w:t>13.标准化科研训练方案复现功能</w:t>
            </w:r>
          </w:p>
          <w:p w14:paraId="7026C68E">
            <w:pPr>
              <w:widowControl w:val="0"/>
              <w:spacing w:before="0" w:after="16" w:line="252" w:lineRule="auto"/>
              <w:jc w:val="left"/>
            </w:pPr>
            <w:r>
              <w:rPr>
                <w:rFonts w:ascii="宋体" w:hAnsi="宋体" w:eastAsia="宋体"/>
                <w:b w:val="0"/>
                <w:sz w:val="21"/>
              </w:rPr>
              <w:t>应能够按照预先设定的振动频率、振动幅度/强度、训练时间及训练模式重复实施相同训练方案。用于科研干预时，每次训练所采用的核心振动参数应能够明确读取，使不同受试者及同一受试者不同时间点能够按照统一方案完成训练。</w:t>
            </w:r>
          </w:p>
          <w:p w14:paraId="4D1FFCBC">
            <w:pPr>
              <w:widowControl w:val="0"/>
              <w:spacing w:before="0" w:after="16" w:line="252" w:lineRule="auto"/>
              <w:jc w:val="left"/>
            </w:pPr>
            <w:r>
              <w:rPr>
                <w:rFonts w:ascii="宋体" w:hAnsi="宋体" w:eastAsia="宋体"/>
                <w:b/>
                <w:sz w:val="21"/>
              </w:rPr>
              <w:t>14.多组训练实施功能</w:t>
            </w:r>
          </w:p>
          <w:p w14:paraId="77446AF5">
            <w:pPr>
              <w:widowControl w:val="0"/>
              <w:spacing w:before="0" w:after="16" w:line="252" w:lineRule="auto"/>
              <w:jc w:val="left"/>
            </w:pPr>
            <w:r>
              <w:rPr>
                <w:rFonts w:ascii="宋体" w:hAnsi="宋体" w:eastAsia="宋体"/>
                <w:b w:val="0"/>
                <w:sz w:val="21"/>
              </w:rPr>
              <w:t>应支持按照科研或临床训练方案进行多组振动训练，每组可按照设定时间完成振动刺激，并能够在组间暂停后继续下一组训练。重新开始下一组训练时，应能够继续采用相同参数或按照既定方案调整训练参数。</w:t>
            </w:r>
          </w:p>
          <w:p w14:paraId="05D9370A">
            <w:pPr>
              <w:widowControl w:val="0"/>
              <w:spacing w:before="0" w:after="16" w:line="252" w:lineRule="auto"/>
              <w:jc w:val="left"/>
            </w:pPr>
            <w:r>
              <w:rPr>
                <w:rFonts w:ascii="宋体" w:hAnsi="宋体" w:eastAsia="宋体"/>
                <w:b/>
                <w:sz w:val="21"/>
              </w:rPr>
              <w:t>15.训练安全控制功能</w:t>
            </w:r>
          </w:p>
          <w:p w14:paraId="7F157C66">
            <w:pPr>
              <w:widowControl w:val="0"/>
              <w:spacing w:before="0" w:after="16" w:line="252" w:lineRule="auto"/>
              <w:jc w:val="left"/>
            </w:pPr>
            <w:r>
              <w:rPr>
                <w:rFonts w:ascii="宋体" w:hAnsi="宋体" w:eastAsia="宋体"/>
                <w:b w:val="0"/>
                <w:sz w:val="21"/>
              </w:rPr>
              <w:t>应具有训练过程中快速停止振动输出的功能，并支持在出现不适、失衡或其他需要终止训练的情况下立即结束当前振动。正常训练达到设定时间后应自动停止输出；停止后再次启动训练应经过明确操作，避免非预期连续振动。</w:t>
            </w:r>
          </w:p>
        </w:tc>
      </w:tr>
    </w:tbl>
    <w:p w14:paraId="1DE004CF">
      <w:pPr>
        <w:pStyle w:val="3"/>
        <w:ind w:left="0" w:leftChars="0" w:firstLine="0" w:firstLineChars="0"/>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392AFC"/>
    <w:rsid w:val="01EA0BE5"/>
    <w:rsid w:val="02227DC5"/>
    <w:rsid w:val="02F6215F"/>
    <w:rsid w:val="03D56A80"/>
    <w:rsid w:val="08163A15"/>
    <w:rsid w:val="0A630A62"/>
    <w:rsid w:val="0DA41AC3"/>
    <w:rsid w:val="0F716AF4"/>
    <w:rsid w:val="10053D44"/>
    <w:rsid w:val="103E1F42"/>
    <w:rsid w:val="103F1284"/>
    <w:rsid w:val="11AF4A11"/>
    <w:rsid w:val="12466893"/>
    <w:rsid w:val="152143B8"/>
    <w:rsid w:val="176B4BCE"/>
    <w:rsid w:val="184C3F44"/>
    <w:rsid w:val="1E6F3A27"/>
    <w:rsid w:val="1E7228D5"/>
    <w:rsid w:val="212339B6"/>
    <w:rsid w:val="2235543A"/>
    <w:rsid w:val="226E4F8A"/>
    <w:rsid w:val="22777105"/>
    <w:rsid w:val="2814104E"/>
    <w:rsid w:val="2B88197A"/>
    <w:rsid w:val="2C24507B"/>
    <w:rsid w:val="2C2A2417"/>
    <w:rsid w:val="300E21C9"/>
    <w:rsid w:val="30A77963"/>
    <w:rsid w:val="31B43718"/>
    <w:rsid w:val="354E552E"/>
    <w:rsid w:val="355A28E3"/>
    <w:rsid w:val="35A619AF"/>
    <w:rsid w:val="35B83D3D"/>
    <w:rsid w:val="362E4123"/>
    <w:rsid w:val="3A670B2E"/>
    <w:rsid w:val="3AB33AFD"/>
    <w:rsid w:val="41B533F7"/>
    <w:rsid w:val="44303FF3"/>
    <w:rsid w:val="48AA5EB9"/>
    <w:rsid w:val="4BB927CA"/>
    <w:rsid w:val="4E360C07"/>
    <w:rsid w:val="5333119C"/>
    <w:rsid w:val="541D768B"/>
    <w:rsid w:val="56F86FFF"/>
    <w:rsid w:val="5A2055FA"/>
    <w:rsid w:val="5AD20FEA"/>
    <w:rsid w:val="5B9A03D2"/>
    <w:rsid w:val="5BF925A6"/>
    <w:rsid w:val="5CD47907"/>
    <w:rsid w:val="633F4960"/>
    <w:rsid w:val="65E37FAB"/>
    <w:rsid w:val="68320208"/>
    <w:rsid w:val="68583E1D"/>
    <w:rsid w:val="690A31E2"/>
    <w:rsid w:val="6FD24A19"/>
    <w:rsid w:val="74736F2F"/>
    <w:rsid w:val="749B14A9"/>
    <w:rsid w:val="75457920"/>
    <w:rsid w:val="759D7DC1"/>
    <w:rsid w:val="7AAC1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spacing w:line="570" w:lineRule="exact"/>
      <w:ind w:firstLine="420" w:firstLineChars="200"/>
      <w:jc w:val="both"/>
      <w:textAlignment w:val="baseline"/>
    </w:pPr>
    <w:rPr>
      <w:rFonts w:ascii="Arial" w:hAnsi="Arial" w:eastAsia="仿宋_GB2312" w:cs="Arial"/>
      <w:snapToGrid w:val="0"/>
      <w:color w:val="000000"/>
      <w:kern w:val="0"/>
      <w:sz w:val="28"/>
      <w:szCs w:val="21"/>
    </w:rPr>
  </w:style>
  <w:style w:type="paragraph" w:styleId="2">
    <w:name w:val="heading 1"/>
    <w:basedOn w:val="1"/>
    <w:next w:val="1"/>
    <w:link w:val="9"/>
    <w:qFormat/>
    <w:uiPriority w:val="0"/>
    <w:pPr>
      <w:keepNext/>
      <w:keepLines/>
      <w:spacing w:before="300" w:after="300" w:line="590" w:lineRule="exact"/>
      <w:ind w:firstLine="0" w:firstLineChars="0"/>
      <w:jc w:val="center"/>
      <w:outlineLvl w:val="0"/>
    </w:pPr>
    <w:rPr>
      <w:rFonts w:ascii="Calibri" w:hAnsi="Calibri" w:eastAsia="方正小标宋简体" w:cs="Times New Roman"/>
      <w:bCs/>
      <w:kern w:val="44"/>
      <w:sz w:val="44"/>
      <w:szCs w:val="44"/>
    </w:rPr>
  </w:style>
  <w:style w:type="character" w:default="1" w:styleId="7">
    <w:name w:val="Default Paragraph Font"/>
    <w:semiHidden/>
    <w:qFormat/>
    <w:uiPriority w:val="99"/>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99"/>
    <w:pPr>
      <w:widowControl/>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basedOn w:val="1"/>
    <w:qFormat/>
    <w:uiPriority w:val="0"/>
    <w:pPr>
      <w:autoSpaceDE w:val="0"/>
      <w:autoSpaceDN w:val="0"/>
      <w:adjustRightInd w:val="0"/>
      <w:jc w:val="left"/>
    </w:pPr>
    <w:rPr>
      <w:rFonts w:ascii="宋体" w:cs="宋体"/>
      <w:color w:val="000000"/>
      <w:kern w:val="0"/>
      <w:sz w:val="24"/>
      <w:szCs w:val="24"/>
    </w:rPr>
  </w:style>
  <w:style w:type="character" w:customStyle="1" w:styleId="9">
    <w:name w:val="Heading 1 Char1"/>
    <w:basedOn w:val="7"/>
    <w:link w:val="2"/>
    <w:qFormat/>
    <w:locked/>
    <w:uiPriority w:val="99"/>
    <w:rPr>
      <w:rFonts w:ascii="Calibri" w:hAnsi="Calibri" w:eastAsia="方正小标宋简体" w:cs="Times New Roman"/>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1783</Words>
  <Characters>1804</Characters>
  <Lines>0</Lines>
  <Paragraphs>0</Paragraphs>
  <TotalTime>66</TotalTime>
  <ScaleCrop>false</ScaleCrop>
  <LinksUpToDate>false</LinksUpToDate>
  <CharactersWithSpaces>1846</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2022-10-28T06:17:00Z</dcterms:created>
  <dc:creator>Administrator</dc:creator>
  <cp:lastModifiedBy>李丹（采购科）</cp:lastModifiedBy>
  <dcterms:modified xsi:type="dcterms:W3CDTF">2026-09-23T04:17:47Z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C732065568334DC5911941D0C5A77A4C_13</vt:lpwstr>
  </property>
  <property fmtid="{D5CDD505-2E9C-101B-9397-08002B2CF9AE}" pid="4" name="KSOTemplateDocerSaveRecord">
    <vt:lpwstr>eyJoZGlkIjoiZGY5Nzk4ODM1ZTI1ZjQ5NWE4OWI3NTFmNTRiMWIzOTEiLCJ1c2VySWQiOiIxODI1MTk5MjAzIn0=</vt:lpwstr>
  </property>
</Properties>
</file>